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4302" w14:textId="77777777" w:rsidR="00845464" w:rsidRPr="007020E0" w:rsidRDefault="00845464" w:rsidP="00845464">
      <w:pPr>
        <w:pStyle w:val="a5"/>
        <w:spacing w:after="0" w:line="240" w:lineRule="auto"/>
        <w:ind w:right="-1" w:firstLine="709"/>
        <w:jc w:val="center"/>
        <w:rPr>
          <w:rFonts w:ascii="Times New Roman" w:hAnsi="Times New Roman" w:cs="Times New Roman"/>
          <w:b/>
          <w:bCs/>
          <w:sz w:val="24"/>
          <w:szCs w:val="24"/>
        </w:rPr>
      </w:pPr>
      <w:r w:rsidRPr="007020E0">
        <w:rPr>
          <w:rFonts w:ascii="Times New Roman" w:hAnsi="Times New Roman" w:cs="Times New Roman"/>
          <w:b/>
          <w:bCs/>
          <w:sz w:val="24"/>
          <w:szCs w:val="24"/>
        </w:rPr>
        <w:t>Профилактика рисков причинения вреда (ущерба) охраняемым законом ценностям</w:t>
      </w:r>
    </w:p>
    <w:p w14:paraId="52B34303" w14:textId="77777777" w:rsidR="00845464" w:rsidRPr="007020E0" w:rsidRDefault="00845464" w:rsidP="00845464">
      <w:pPr>
        <w:pStyle w:val="ConsPlusNormal"/>
        <w:ind w:right="-1" w:firstLine="709"/>
        <w:jc w:val="both"/>
        <w:rPr>
          <w:rFonts w:ascii="Times New Roman" w:hAnsi="Times New Roman" w:cs="Times New Roman"/>
          <w:color w:val="000000"/>
          <w:sz w:val="24"/>
          <w:szCs w:val="24"/>
          <w:lang w:eastAsia="ru-RU"/>
        </w:rPr>
      </w:pPr>
      <w:r w:rsidRPr="007020E0">
        <w:rPr>
          <w:rFonts w:ascii="Times New Roman" w:hAnsi="Times New Roman" w:cs="Times New Roman"/>
          <w:sz w:val="24"/>
          <w:szCs w:val="24"/>
        </w:rPr>
        <w:t xml:space="preserve">2.1. </w:t>
      </w:r>
      <w:r w:rsidRPr="007020E0">
        <w:rPr>
          <w:rFonts w:ascii="Times New Roman" w:hAnsi="Times New Roman" w:cs="Times New Roman"/>
          <w:color w:val="000000"/>
          <w:sz w:val="24"/>
          <w:szCs w:val="24"/>
          <w:lang w:eastAsia="ru-RU"/>
        </w:rPr>
        <w:t>Профилактика рисков причинения вреда (ущерба) охраняемым законом ценностям направлена на достижение следующих основных целей:</w:t>
      </w:r>
    </w:p>
    <w:p w14:paraId="52B34304" w14:textId="77777777" w:rsidR="00845464" w:rsidRPr="007020E0" w:rsidRDefault="00845464" w:rsidP="00845464">
      <w:pPr>
        <w:pStyle w:val="ConsPlusNormal"/>
        <w:ind w:right="-1" w:firstLine="709"/>
        <w:jc w:val="both"/>
        <w:rPr>
          <w:rFonts w:ascii="Times New Roman" w:hAnsi="Times New Roman" w:cs="Times New Roman"/>
          <w:color w:val="000000"/>
          <w:sz w:val="24"/>
          <w:szCs w:val="24"/>
          <w:lang w:eastAsia="ru-RU"/>
        </w:rPr>
      </w:pPr>
      <w:r w:rsidRPr="007020E0">
        <w:rPr>
          <w:rFonts w:ascii="Times New Roman" w:hAnsi="Times New Roman" w:cs="Times New Roman"/>
          <w:color w:val="000000"/>
          <w:sz w:val="24"/>
          <w:szCs w:val="24"/>
          <w:lang w:eastAsia="ru-RU"/>
        </w:rPr>
        <w:t>1) стимулирование добросовестного соблюдения обязательных требований всеми контролируемыми лицами;</w:t>
      </w:r>
    </w:p>
    <w:p w14:paraId="52B34305" w14:textId="77777777" w:rsidR="00845464" w:rsidRPr="007020E0" w:rsidRDefault="00845464" w:rsidP="00845464">
      <w:pPr>
        <w:pStyle w:val="ConsPlusNormal"/>
        <w:ind w:right="-1" w:firstLine="709"/>
        <w:jc w:val="both"/>
        <w:rPr>
          <w:rFonts w:ascii="Times New Roman" w:hAnsi="Times New Roman" w:cs="Times New Roman"/>
          <w:color w:val="000000"/>
          <w:sz w:val="24"/>
          <w:szCs w:val="24"/>
          <w:lang w:eastAsia="ru-RU"/>
        </w:rPr>
      </w:pPr>
      <w:r w:rsidRPr="007020E0">
        <w:rPr>
          <w:rFonts w:ascii="Times New Roman" w:hAnsi="Times New Roman" w:cs="Times New Roman"/>
          <w:color w:val="000000"/>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2B34306" w14:textId="77777777" w:rsidR="00845464" w:rsidRPr="007020E0" w:rsidRDefault="00845464" w:rsidP="00845464">
      <w:pPr>
        <w:pStyle w:val="ConsPlusNormal"/>
        <w:ind w:right="-1" w:firstLine="709"/>
        <w:jc w:val="both"/>
        <w:rPr>
          <w:rFonts w:ascii="Times New Roman" w:hAnsi="Times New Roman" w:cs="Times New Roman"/>
          <w:color w:val="000000"/>
          <w:sz w:val="24"/>
          <w:szCs w:val="24"/>
          <w:lang w:eastAsia="ru-RU"/>
        </w:rPr>
      </w:pPr>
      <w:r w:rsidRPr="007020E0">
        <w:rPr>
          <w:rFonts w:ascii="Times New Roman" w:hAnsi="Times New Roman" w:cs="Times New Roman"/>
          <w:color w:val="000000"/>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52B34307" w14:textId="77777777" w:rsidR="00845464" w:rsidRPr="007020E0" w:rsidRDefault="00845464" w:rsidP="00845464">
      <w:pPr>
        <w:pStyle w:val="ConsPlusNormal"/>
        <w:ind w:right="-1" w:firstLine="709"/>
        <w:jc w:val="both"/>
        <w:rPr>
          <w:rFonts w:ascii="Times New Roman" w:hAnsi="Times New Roman" w:cs="Times New Roman"/>
          <w:sz w:val="24"/>
          <w:szCs w:val="24"/>
        </w:rPr>
      </w:pPr>
      <w:r w:rsidRPr="007020E0">
        <w:rPr>
          <w:rFonts w:ascii="Times New Roman" w:hAnsi="Times New Roman" w:cs="Times New Roman"/>
          <w:sz w:val="24"/>
          <w:szCs w:val="24"/>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 рисков причинения вреда) путем проведения профилактических мероприятий.</w:t>
      </w:r>
    </w:p>
    <w:p w14:paraId="52B34308" w14:textId="77777777" w:rsidR="00845464" w:rsidRPr="007020E0" w:rsidRDefault="00845464" w:rsidP="00845464">
      <w:pPr>
        <w:pStyle w:val="ConsPlusNormal"/>
        <w:ind w:right="-1" w:firstLine="709"/>
        <w:jc w:val="both"/>
        <w:rPr>
          <w:rFonts w:ascii="Times New Roman" w:hAnsi="Times New Roman" w:cs="Times New Roman"/>
          <w:sz w:val="24"/>
          <w:szCs w:val="24"/>
        </w:rPr>
      </w:pPr>
      <w:r w:rsidRPr="007020E0">
        <w:rPr>
          <w:rFonts w:ascii="Times New Roman" w:hAnsi="Times New Roman" w:cs="Times New Roman"/>
          <w:sz w:val="24"/>
          <w:szCs w:val="24"/>
        </w:rPr>
        <w:t xml:space="preserve">2.2. Утвержденная программа профилактики рисков причинения вреда размещается на официальном сайте Администрации Белокалитвинского городского поселения </w:t>
      </w:r>
      <w:hyperlink r:id="rId4" w:history="1">
        <w:r w:rsidRPr="007020E0">
          <w:rPr>
            <w:rStyle w:val="a3"/>
            <w:rFonts w:ascii="Times New Roman" w:eastAsiaTheme="minorHAnsi" w:hAnsi="Times New Roman" w:cs="Times New Roman"/>
            <w:sz w:val="24"/>
            <w:szCs w:val="24"/>
          </w:rPr>
          <w:t>http://belokalitvinskoegp.ru/</w:t>
        </w:r>
      </w:hyperlink>
      <w:r w:rsidRPr="007020E0">
        <w:rPr>
          <w:rFonts w:ascii="Times New Roman" w:hAnsi="Times New Roman" w:cs="Times New Roman"/>
          <w:sz w:val="24"/>
          <w:szCs w:val="24"/>
        </w:rPr>
        <w:t>/ в сети «Интернет».</w:t>
      </w:r>
    </w:p>
    <w:p w14:paraId="52B34309" w14:textId="77777777" w:rsidR="00845464" w:rsidRPr="007020E0" w:rsidRDefault="00845464" w:rsidP="00845464">
      <w:pPr>
        <w:pStyle w:val="ConsPlusNormal"/>
        <w:ind w:right="-1" w:firstLine="709"/>
        <w:jc w:val="both"/>
        <w:rPr>
          <w:rFonts w:ascii="Times New Roman" w:hAnsi="Times New Roman" w:cs="Times New Roman"/>
          <w:color w:val="000000"/>
          <w:sz w:val="24"/>
          <w:szCs w:val="24"/>
          <w:lang w:eastAsia="ru-RU"/>
        </w:rPr>
      </w:pPr>
      <w:r w:rsidRPr="007020E0">
        <w:rPr>
          <w:rFonts w:ascii="Times New Roman" w:hAnsi="Times New Roman" w:cs="Times New Roman"/>
          <w:sz w:val="24"/>
          <w:szCs w:val="24"/>
        </w:rPr>
        <w:t>2.3. Согласно части 1 и 2 статьи 45 Федерального закона Отдел контроля проводит следующие виды профилактических мероприятий:</w:t>
      </w:r>
    </w:p>
    <w:p w14:paraId="52B3430A"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1) информирование;</w:t>
      </w:r>
    </w:p>
    <w:p w14:paraId="52B3430B"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 объявление предостережения;</w:t>
      </w:r>
    </w:p>
    <w:p w14:paraId="52B3430C"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3) консультирование.</w:t>
      </w:r>
    </w:p>
    <w:p w14:paraId="52B3430D"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2.4. Отдел контроля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2B3430E"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2B3430F"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Отдела контроля незамедлительно направляет информацию об этом главе Контрольного органа для принятия решений о проведении контрольных мероприятий.</w:t>
      </w:r>
    </w:p>
    <w:p w14:paraId="52B34310"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 xml:space="preserve">2.6. Отделом контроля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в  сети «Интернет» на официальном сайте Контрольного органа, </w:t>
      </w:r>
      <w:hyperlink r:id="rId5" w:history="1">
        <w:r w:rsidRPr="007020E0">
          <w:rPr>
            <w:rStyle w:val="a3"/>
            <w:rFonts w:ascii="Times New Roman" w:hAnsi="Times New Roman" w:cs="Times New Roman"/>
            <w:sz w:val="24"/>
            <w:szCs w:val="24"/>
            <w:lang w:eastAsia="zh-CN"/>
          </w:rPr>
          <w:t>http://belokalitvinskoegp.ru/</w:t>
        </w:r>
      </w:hyperlink>
      <w:r w:rsidRPr="007020E0">
        <w:rPr>
          <w:rFonts w:ascii="Times New Roman" w:hAnsi="Times New Roman" w:cs="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2B34311"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 xml:space="preserve">2.7.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52B34312"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lastRenderedPageBreak/>
        <w:t>2.7.1. Предостережение объявляется главой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2B34313"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 xml:space="preserve">2.7.2.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календарных дней со дня получения им предостережения. Возражение в отношении предостережения рассматривается Контрольным органом в течение 15 дней со дня получения. </w:t>
      </w:r>
    </w:p>
    <w:p w14:paraId="52B34314"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2.7.3. В результате рассмотрения возражения контролируемому лицу направляется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52B34315"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2.7.4. Отдел контроля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Объявленные предостережения регистрируются в журнале учета предостережений с присвоением регистрационного номера.</w:t>
      </w:r>
    </w:p>
    <w:p w14:paraId="52B34316"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2.8. Консультирование - разъяснения по вопросам, связанным с организацией и осуществлением муниципального контроля, осуществляется должностными лицами Отдела контроля по обращениям контролируемых лиц и их представителей. Консультирование осуществляется без взимания платы.</w:t>
      </w:r>
    </w:p>
    <w:p w14:paraId="52B34317"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 xml:space="preserve">2.8.1. Консультирование осуществляется должностными лицами Отдела контроля как в устной форме по телефону, посредством </w:t>
      </w:r>
      <w:proofErr w:type="gramStart"/>
      <w:r w:rsidRPr="007020E0">
        <w:rPr>
          <w:rFonts w:ascii="Times New Roman" w:hAnsi="Times New Roman" w:cs="Times New Roman"/>
          <w:sz w:val="24"/>
          <w:szCs w:val="24"/>
        </w:rPr>
        <w:t>видеоконференц-связи</w:t>
      </w:r>
      <w:proofErr w:type="gramEnd"/>
      <w:r w:rsidRPr="007020E0">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 так и в письменной форме.</w:t>
      </w:r>
    </w:p>
    <w:p w14:paraId="52B34318"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2.8.2. Консультирование в устной и письменной формах осуществляется по следующим вопросам:</w:t>
      </w:r>
    </w:p>
    <w:p w14:paraId="52B34319"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1) организация и осуществление муниципального контроля;</w:t>
      </w:r>
    </w:p>
    <w:p w14:paraId="52B3431A"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14:paraId="52B3431B"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3) порядка принятия решений по итогам контрольных мероприятий;</w:t>
      </w:r>
    </w:p>
    <w:p w14:paraId="52B3431C"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4) порядка обжалования решений Контрольного органа.</w:t>
      </w:r>
    </w:p>
    <w:p w14:paraId="52B3431D"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2.8.3.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2B3431E"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2.8.4. При осуществлении консультирования должностные лица Отдела контроля обязаны соблюдать конфиденциальность информации, доступ к которой ограничен в соответствии с законодательством Российской Федерации.</w:t>
      </w:r>
    </w:p>
    <w:p w14:paraId="52B3431F"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2.8.5. В ходе консультирования информация, содержащая оценку конкретного контрольного мероприятия, решений и (или) действий должностных лиц Отдела контроля, иных участников контрольного мероприятия, а также результаты проведенных в рамках контрольного мероприятия, не предоставляется.</w:t>
      </w:r>
    </w:p>
    <w:p w14:paraId="52B34320"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lastRenderedPageBreak/>
        <w:t>2.8.6. Информация, ставшая известной должностным лицам Отдела контроля в ходе консультирования, не подлежит использованию в целях оценки контролируемого лица по вопросам соблюдения обязательных требований.</w:t>
      </w:r>
    </w:p>
    <w:p w14:paraId="52B34321"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2.8.7. Должностными лицами Отдела контроля ведется журнал учета консультирований.</w:t>
      </w:r>
    </w:p>
    <w:p w14:paraId="52B34322" w14:textId="77777777" w:rsidR="00845464" w:rsidRPr="007020E0" w:rsidRDefault="00845464" w:rsidP="00845464">
      <w:pPr>
        <w:spacing w:after="0" w:line="240" w:lineRule="auto"/>
        <w:ind w:right="-1" w:firstLine="709"/>
        <w:jc w:val="both"/>
        <w:rPr>
          <w:rFonts w:ascii="Times New Roman" w:hAnsi="Times New Roman" w:cs="Times New Roman"/>
          <w:sz w:val="24"/>
          <w:szCs w:val="24"/>
        </w:rPr>
      </w:pPr>
      <w:r w:rsidRPr="007020E0">
        <w:rPr>
          <w:rFonts w:ascii="Times New Roman" w:hAnsi="Times New Roman" w:cs="Times New Roman"/>
          <w:sz w:val="24"/>
          <w:szCs w:val="24"/>
        </w:rPr>
        <w:t xml:space="preserve">2.8.8.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w:t>
      </w:r>
      <w:hyperlink r:id="rId6" w:history="1">
        <w:r w:rsidRPr="007020E0">
          <w:rPr>
            <w:rStyle w:val="a3"/>
            <w:rFonts w:ascii="Times New Roman" w:hAnsi="Times New Roman" w:cs="Times New Roman"/>
            <w:sz w:val="24"/>
            <w:szCs w:val="24"/>
            <w:lang w:eastAsia="zh-CN"/>
          </w:rPr>
          <w:t>http://belokalitvinskoegp.ru/</w:t>
        </w:r>
      </w:hyperlink>
      <w:r w:rsidRPr="007020E0">
        <w:rPr>
          <w:rFonts w:ascii="Times New Roman" w:hAnsi="Times New Roman" w:cs="Times New Roman"/>
          <w:sz w:val="24"/>
          <w:szCs w:val="24"/>
        </w:rPr>
        <w:t>/ в сети Интернет письменного разъяснения, подписанного главой Контрольного органа.</w:t>
      </w:r>
    </w:p>
    <w:p w14:paraId="52B34323" w14:textId="77777777" w:rsidR="00845464" w:rsidRPr="007020E0" w:rsidRDefault="00845464" w:rsidP="00845464">
      <w:pPr>
        <w:pStyle w:val="a5"/>
        <w:spacing w:after="0" w:line="240" w:lineRule="auto"/>
        <w:ind w:left="1069" w:right="-1" w:firstLine="709"/>
        <w:jc w:val="center"/>
        <w:rPr>
          <w:rFonts w:ascii="Times New Roman" w:hAnsi="Times New Roman" w:cs="Times New Roman"/>
          <w:b/>
          <w:sz w:val="24"/>
          <w:szCs w:val="24"/>
        </w:rPr>
      </w:pPr>
    </w:p>
    <w:p w14:paraId="52B34324" w14:textId="77777777" w:rsidR="00CF4FFF" w:rsidRPr="007020E0" w:rsidRDefault="00CF4FFF">
      <w:pPr>
        <w:rPr>
          <w:rFonts w:ascii="Times New Roman" w:hAnsi="Times New Roman" w:cs="Times New Roman"/>
          <w:sz w:val="24"/>
          <w:szCs w:val="24"/>
        </w:rPr>
      </w:pPr>
    </w:p>
    <w:sectPr w:rsidR="00CF4FFF" w:rsidRPr="00702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7D"/>
    <w:rsid w:val="000D3E7D"/>
    <w:rsid w:val="007020E0"/>
    <w:rsid w:val="00845464"/>
    <w:rsid w:val="00CF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4302"/>
  <w15:chartTrackingRefBased/>
  <w15:docId w15:val="{DEAF3321-F1DD-4D8E-A3B5-071DA8E1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464"/>
    <w:pPr>
      <w:spacing w:after="200" w:line="276" w:lineRule="auto"/>
    </w:pPr>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link w:val="a3"/>
    <w:uiPriority w:val="99"/>
    <w:rsid w:val="00845464"/>
    <w:pPr>
      <w:spacing w:after="200" w:line="276" w:lineRule="auto"/>
    </w:pPr>
    <w:rPr>
      <w:rFonts w:ascii="Calibri" w:eastAsia="Times New Roman" w:hAnsi="Calibri" w:cs="Calibri"/>
      <w:color w:val="0000FF"/>
      <w:u w:val="single"/>
      <w:lang w:eastAsia="ru-RU"/>
    </w:rPr>
  </w:style>
  <w:style w:type="character" w:styleId="a3">
    <w:name w:val="Hyperlink"/>
    <w:link w:val="1"/>
    <w:uiPriority w:val="99"/>
    <w:unhideWhenUsed/>
    <w:rsid w:val="00845464"/>
    <w:rPr>
      <w:rFonts w:ascii="Calibri" w:eastAsia="Times New Roman" w:hAnsi="Calibri" w:cs="Calibri"/>
      <w:color w:val="0000FF"/>
      <w:u w:val="single"/>
      <w:lang w:eastAsia="ru-RU"/>
    </w:rPr>
  </w:style>
  <w:style w:type="character" w:customStyle="1" w:styleId="a4">
    <w:name w:val="Абзац списка Знак"/>
    <w:basedOn w:val="a0"/>
    <w:link w:val="a5"/>
    <w:uiPriority w:val="99"/>
    <w:locked/>
    <w:rsid w:val="00845464"/>
    <w:rPr>
      <w:rFonts w:ascii="Calibri" w:hAnsi="Calibri" w:cs="Calibri"/>
      <w:color w:val="000000"/>
    </w:rPr>
  </w:style>
  <w:style w:type="paragraph" w:styleId="a5">
    <w:name w:val="List Paragraph"/>
    <w:basedOn w:val="a"/>
    <w:link w:val="a4"/>
    <w:uiPriority w:val="99"/>
    <w:qFormat/>
    <w:rsid w:val="00845464"/>
    <w:pPr>
      <w:ind w:left="720"/>
    </w:pPr>
    <w:rPr>
      <w:rFonts w:eastAsiaTheme="minorHAnsi"/>
      <w:lang w:eastAsia="en-US"/>
    </w:rPr>
  </w:style>
  <w:style w:type="character" w:customStyle="1" w:styleId="ConsPlusNormal1">
    <w:name w:val="ConsPlusNormal1"/>
    <w:link w:val="ConsPlusNormal"/>
    <w:locked/>
    <w:rsid w:val="00845464"/>
    <w:rPr>
      <w:rFonts w:ascii="Arial" w:hAnsi="Arial" w:cs="Arial"/>
      <w:lang w:eastAsia="zh-CN"/>
    </w:rPr>
  </w:style>
  <w:style w:type="paragraph" w:customStyle="1" w:styleId="ConsPlusNormal">
    <w:name w:val="ConsPlusNormal"/>
    <w:link w:val="ConsPlusNormal1"/>
    <w:rsid w:val="00845464"/>
    <w:pPr>
      <w:suppressAutoHyphens/>
      <w:autoSpaceDE w:val="0"/>
      <w:spacing w:after="0" w:line="240" w:lineRule="auto"/>
      <w:ind w:firstLine="720"/>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lokalitvinskoegp.ru/" TargetMode="External"/><Relationship Id="rId5" Type="http://schemas.openxmlformats.org/officeDocument/2006/relationships/hyperlink" Target="http://belokalitvinskoegp.ru/" TargetMode="External"/><Relationship Id="rId4" Type="http://schemas.openxmlformats.org/officeDocument/2006/relationships/hyperlink" Target="http://belokalitvinskoe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Kab104</dc:creator>
  <cp:keywords/>
  <dc:description/>
  <cp:lastModifiedBy>Сергей Трухин</cp:lastModifiedBy>
  <cp:revision>3</cp:revision>
  <dcterms:created xsi:type="dcterms:W3CDTF">2023-10-30T10:21:00Z</dcterms:created>
  <dcterms:modified xsi:type="dcterms:W3CDTF">2023-10-30T12:09:00Z</dcterms:modified>
</cp:coreProperties>
</file>