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BB" w:rsidRDefault="005A0EBB" w:rsidP="005A0EB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</w:rPr>
        <w:drawing>
          <wp:inline distT="0" distB="0" distL="0" distR="0" wp14:anchorId="3D748200" wp14:editId="39AC10C5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BB" w:rsidRPr="006028B5" w:rsidRDefault="005A0EBB" w:rsidP="005A0EBB">
      <w:pPr>
        <w:pStyle w:val="ab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5A0EBB" w:rsidRPr="006028B5" w:rsidRDefault="005A0EBB" w:rsidP="005A0EBB">
      <w:pPr>
        <w:pStyle w:val="ab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5A0EBB" w:rsidRDefault="005A0EBB" w:rsidP="005A0EBB">
      <w:pPr>
        <w:pStyle w:val="ab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5A0EBB" w:rsidRPr="006028B5" w:rsidRDefault="005A0EBB" w:rsidP="005A0EBB">
      <w:pPr>
        <w:pStyle w:val="ab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CE237F" w:rsidRDefault="005A0EBB" w:rsidP="005A0EBB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:rsidR="005A0EBB" w:rsidRDefault="005A0EBB" w:rsidP="005A0EBB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:rsidR="00CE237F" w:rsidRPr="0083184D" w:rsidRDefault="00CE237F" w:rsidP="005A0EBB">
      <w:pPr>
        <w:jc w:val="center"/>
        <w:rPr>
          <w:sz w:val="32"/>
          <w:szCs w:val="28"/>
        </w:rPr>
      </w:pPr>
    </w:p>
    <w:p w:rsidR="005A0EBB" w:rsidRPr="006028B5" w:rsidRDefault="005A0EBB" w:rsidP="005A0EBB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5A0EBB" w:rsidRDefault="005A0EBB" w:rsidP="005A0EBB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1493A">
        <w:rPr>
          <w:sz w:val="28"/>
        </w:rPr>
        <w:t>18.11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E237F">
        <w:rPr>
          <w:sz w:val="28"/>
        </w:rPr>
        <w:t>24</w:t>
      </w:r>
      <w:r>
        <w:rPr>
          <w:sz w:val="28"/>
        </w:rPr>
        <w:tab/>
        <w:t>№ </w:t>
      </w:r>
      <w:r w:rsidR="00B1493A">
        <w:rPr>
          <w:sz w:val="28"/>
        </w:rPr>
        <w:t>539</w:t>
      </w:r>
    </w:p>
    <w:p w:rsidR="005A0EBB" w:rsidRDefault="005A0EBB" w:rsidP="005A0EBB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5A0EBB" w:rsidRPr="0069525E" w:rsidRDefault="005A0EBB" w:rsidP="00CF44A3">
      <w:pPr>
        <w:rPr>
          <w:sz w:val="28"/>
          <w:szCs w:val="28"/>
        </w:rPr>
      </w:pPr>
    </w:p>
    <w:p w:rsidR="00CE237F" w:rsidRDefault="00DB6CB3" w:rsidP="00DB6CB3">
      <w:pPr>
        <w:jc w:val="center"/>
        <w:rPr>
          <w:b/>
          <w:bCs/>
          <w:sz w:val="28"/>
          <w:szCs w:val="28"/>
        </w:rPr>
      </w:pPr>
      <w:bookmarkStart w:id="0" w:name="_GoBack"/>
      <w:r w:rsidRPr="000D68EE">
        <w:rPr>
          <w:rStyle w:val="a4"/>
          <w:bCs w:val="0"/>
          <w:sz w:val="28"/>
          <w:szCs w:val="28"/>
        </w:rPr>
        <w:t xml:space="preserve">Об утверждении </w:t>
      </w:r>
      <w:r>
        <w:rPr>
          <w:rStyle w:val="a4"/>
          <w:bCs w:val="0"/>
          <w:sz w:val="28"/>
          <w:szCs w:val="28"/>
        </w:rPr>
        <w:t>П</w:t>
      </w:r>
      <w:r w:rsidRPr="000D68EE">
        <w:rPr>
          <w:rStyle w:val="a4"/>
          <w:bCs w:val="0"/>
          <w:sz w:val="28"/>
          <w:szCs w:val="28"/>
        </w:rPr>
        <w:t>рограммы профилактики</w:t>
      </w:r>
      <w:r>
        <w:rPr>
          <w:rStyle w:val="a4"/>
          <w:bCs w:val="0"/>
          <w:sz w:val="28"/>
          <w:szCs w:val="28"/>
        </w:rPr>
        <w:t xml:space="preserve"> 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A0E38">
        <w:rPr>
          <w:b/>
          <w:bCs/>
          <w:sz w:val="28"/>
          <w:szCs w:val="28"/>
        </w:rPr>
        <w:t xml:space="preserve">Белокалитвинского городского поселения </w:t>
      </w:r>
    </w:p>
    <w:p w:rsidR="00CF44A3" w:rsidRDefault="00DB6CB3" w:rsidP="00DB6CB3">
      <w:pPr>
        <w:jc w:val="center"/>
        <w:rPr>
          <w:b/>
          <w:bCs/>
          <w:sz w:val="28"/>
          <w:szCs w:val="28"/>
        </w:rPr>
      </w:pPr>
      <w:r w:rsidRPr="00637572">
        <w:rPr>
          <w:b/>
          <w:bCs/>
          <w:sz w:val="28"/>
          <w:szCs w:val="28"/>
        </w:rPr>
        <w:t xml:space="preserve">на </w:t>
      </w:r>
      <w:r w:rsidR="00A33C28">
        <w:rPr>
          <w:b/>
          <w:bCs/>
          <w:sz w:val="28"/>
          <w:szCs w:val="28"/>
        </w:rPr>
        <w:t>2025</w:t>
      </w:r>
      <w:r w:rsidRPr="00637572">
        <w:rPr>
          <w:b/>
          <w:bCs/>
          <w:sz w:val="28"/>
          <w:szCs w:val="28"/>
        </w:rPr>
        <w:t xml:space="preserve"> год</w:t>
      </w:r>
    </w:p>
    <w:bookmarkEnd w:id="0"/>
    <w:p w:rsidR="00DB6CB3" w:rsidRPr="00637572" w:rsidRDefault="00DB6CB3" w:rsidP="00DB6CB3">
      <w:pPr>
        <w:jc w:val="center"/>
        <w:rPr>
          <w:b/>
          <w:bCs/>
          <w:sz w:val="28"/>
          <w:szCs w:val="28"/>
        </w:rPr>
      </w:pPr>
    </w:p>
    <w:p w:rsidR="00D80E41" w:rsidRDefault="00792F88" w:rsidP="005A0EBB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717F2">
        <w:rPr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3717F2">
        <w:rPr>
          <w:sz w:val="28"/>
          <w:szCs w:val="28"/>
        </w:rPr>
        <w:t xml:space="preserve">», Уставом </w:t>
      </w:r>
      <w:r w:rsidR="00B45996">
        <w:rPr>
          <w:sz w:val="28"/>
          <w:szCs w:val="28"/>
        </w:rPr>
        <w:t>муниципального образования «Белока</w:t>
      </w:r>
      <w:r w:rsidR="005A3C97">
        <w:rPr>
          <w:sz w:val="28"/>
          <w:szCs w:val="28"/>
        </w:rPr>
        <w:t>литвинское городское поселение»</w:t>
      </w:r>
      <w:r w:rsidR="00D80E41">
        <w:rPr>
          <w:sz w:val="28"/>
          <w:szCs w:val="28"/>
        </w:rPr>
        <w:t xml:space="preserve">, а также решением Собрания депутатов </w:t>
      </w:r>
      <w:r w:rsidR="00B45996">
        <w:rPr>
          <w:sz w:val="28"/>
          <w:szCs w:val="28"/>
        </w:rPr>
        <w:t xml:space="preserve">Белокалитвинского </w:t>
      </w:r>
      <w:r w:rsidR="00B45996" w:rsidRPr="00352762">
        <w:rPr>
          <w:sz w:val="28"/>
          <w:szCs w:val="28"/>
        </w:rPr>
        <w:t>городского поселения</w:t>
      </w:r>
      <w:r w:rsidR="00D80E41" w:rsidRPr="00352762">
        <w:rPr>
          <w:sz w:val="28"/>
          <w:szCs w:val="28"/>
        </w:rPr>
        <w:t xml:space="preserve"> от </w:t>
      </w:r>
      <w:r w:rsidR="00352762" w:rsidRPr="00352762">
        <w:rPr>
          <w:sz w:val="28"/>
          <w:szCs w:val="28"/>
        </w:rPr>
        <w:t>28.12.2021 № 22</w:t>
      </w:r>
      <w:r w:rsidR="00D80E41" w:rsidRPr="00352762">
        <w:rPr>
          <w:sz w:val="28"/>
          <w:szCs w:val="28"/>
        </w:rPr>
        <w:t xml:space="preserve"> </w:t>
      </w:r>
      <w:r w:rsidR="00B45996" w:rsidRPr="00352762">
        <w:rPr>
          <w:sz w:val="28"/>
          <w:szCs w:val="28"/>
        </w:rPr>
        <w:t>«</w:t>
      </w:r>
      <w:r w:rsidR="00B45996" w:rsidRPr="00352762">
        <w:rPr>
          <w:color w:val="000000"/>
          <w:sz w:val="28"/>
          <w:szCs w:val="28"/>
        </w:rPr>
        <w:t>Об утверждении Положения о муниципальном</w:t>
      </w:r>
      <w:r w:rsidR="00B45996" w:rsidRPr="00B45996">
        <w:rPr>
          <w:color w:val="000000"/>
          <w:sz w:val="28"/>
          <w:szCs w:val="28"/>
        </w:rPr>
        <w:t xml:space="preserve"> контроле на автомобильном транспорте, городском наземном электрическом транспорте и в дорожном хозяйстве в границах населенных пунктов Белокалитвинского городского поселения</w:t>
      </w:r>
      <w:r w:rsidR="00B45996">
        <w:rPr>
          <w:color w:val="000000"/>
          <w:sz w:val="28"/>
          <w:szCs w:val="28"/>
        </w:rPr>
        <w:t>»</w:t>
      </w:r>
      <w:r w:rsidR="00402DEB">
        <w:rPr>
          <w:color w:val="000000"/>
          <w:sz w:val="28"/>
          <w:szCs w:val="28"/>
        </w:rPr>
        <w:t xml:space="preserve">, Администрация Белокалитвинского городского поселения </w:t>
      </w:r>
      <w:r w:rsidR="00402DEB">
        <w:rPr>
          <w:b/>
          <w:color w:val="000000"/>
          <w:sz w:val="28"/>
          <w:szCs w:val="28"/>
        </w:rPr>
        <w:t>постановляет:</w:t>
      </w:r>
    </w:p>
    <w:p w:rsidR="00CE237F" w:rsidRPr="00402DEB" w:rsidRDefault="00CE237F" w:rsidP="005A0EBB">
      <w:pPr>
        <w:ind w:firstLine="709"/>
        <w:jc w:val="both"/>
        <w:rPr>
          <w:b/>
          <w:sz w:val="28"/>
          <w:szCs w:val="28"/>
        </w:rPr>
      </w:pPr>
    </w:p>
    <w:p w:rsidR="00CF44A3" w:rsidRPr="00721A9C" w:rsidRDefault="00CF44A3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2DEB">
        <w:rPr>
          <w:sz w:val="28"/>
          <w:szCs w:val="28"/>
        </w:rPr>
        <w:t xml:space="preserve">Утвердить </w:t>
      </w:r>
      <w:r w:rsidR="00792F88" w:rsidRPr="00402DEB">
        <w:rPr>
          <w:sz w:val="28"/>
          <w:szCs w:val="28"/>
        </w:rPr>
        <w:t>Программу профилактики рисков причинения вреда</w:t>
      </w:r>
      <w:r w:rsidR="00402DEB" w:rsidRPr="00402DEB">
        <w:rPr>
          <w:sz w:val="28"/>
          <w:szCs w:val="28"/>
        </w:rPr>
        <w:t xml:space="preserve"> (ущерба)</w:t>
      </w:r>
      <w:r w:rsidR="00792F88" w:rsidRPr="00402DEB">
        <w:rPr>
          <w:sz w:val="28"/>
          <w:szCs w:val="28"/>
        </w:rPr>
        <w:t xml:space="preserve"> </w:t>
      </w:r>
      <w:r w:rsidR="00402DEB" w:rsidRPr="00402DEB">
        <w:rPr>
          <w:rStyle w:val="a4"/>
          <w:b w:val="0"/>
          <w:bCs w:val="0"/>
          <w:sz w:val="28"/>
          <w:szCs w:val="28"/>
        </w:rPr>
        <w:t>охраняемым законом ценностям</w:t>
      </w:r>
      <w:r w:rsidR="00402DEB" w:rsidRPr="00402DEB">
        <w:rPr>
          <w:rStyle w:val="a4"/>
          <w:bCs w:val="0"/>
          <w:sz w:val="28"/>
          <w:szCs w:val="28"/>
        </w:rPr>
        <w:t xml:space="preserve"> </w:t>
      </w:r>
      <w:r w:rsidR="00402DEB" w:rsidRPr="00402DEB">
        <w:rPr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Белокалитвинского городского поселения на </w:t>
      </w:r>
      <w:r w:rsidR="005E33EA">
        <w:rPr>
          <w:bCs/>
          <w:sz w:val="28"/>
          <w:szCs w:val="28"/>
        </w:rPr>
        <w:t>2025</w:t>
      </w:r>
      <w:r w:rsidR="00402DEB" w:rsidRPr="00402DEB">
        <w:rPr>
          <w:bCs/>
          <w:sz w:val="28"/>
          <w:szCs w:val="28"/>
        </w:rPr>
        <w:t xml:space="preserve"> год</w:t>
      </w:r>
      <w:r w:rsidR="00E230F2" w:rsidRPr="00402DEB">
        <w:rPr>
          <w:sz w:val="28"/>
          <w:szCs w:val="28"/>
        </w:rPr>
        <w:t xml:space="preserve"> согласно</w:t>
      </w:r>
      <w:r w:rsidR="00E230F2">
        <w:rPr>
          <w:sz w:val="28"/>
          <w:szCs w:val="28"/>
        </w:rPr>
        <w:t xml:space="preserve"> приложению</w:t>
      </w:r>
      <w:r w:rsidR="00792F88">
        <w:rPr>
          <w:sz w:val="28"/>
          <w:szCs w:val="28"/>
        </w:rPr>
        <w:t>.</w:t>
      </w:r>
    </w:p>
    <w:p w:rsidR="00721A9C" w:rsidRDefault="00721A9C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</w:t>
      </w:r>
      <w:r w:rsidR="00402DEB">
        <w:rPr>
          <w:sz w:val="28"/>
          <w:szCs w:val="28"/>
        </w:rPr>
        <w:t>вступает в силу после его официального опубликования, но не ранее 1 января 202</w:t>
      </w:r>
      <w:r w:rsidR="004F5FCF">
        <w:rPr>
          <w:sz w:val="28"/>
          <w:szCs w:val="28"/>
        </w:rPr>
        <w:t>5</w:t>
      </w:r>
      <w:r w:rsidR="00402DEB">
        <w:rPr>
          <w:sz w:val="28"/>
          <w:szCs w:val="28"/>
        </w:rPr>
        <w:t xml:space="preserve"> года.</w:t>
      </w:r>
    </w:p>
    <w:p w:rsidR="00CF44A3" w:rsidRDefault="00CF44A3" w:rsidP="005A0EB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92F88">
        <w:rPr>
          <w:sz w:val="28"/>
          <w:szCs w:val="28"/>
        </w:rPr>
        <w:t>Контроль за</w:t>
      </w:r>
      <w:proofErr w:type="gramEnd"/>
      <w:r w:rsidRPr="00792F88"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 w:rsidR="00792F88">
        <w:rPr>
          <w:sz w:val="28"/>
          <w:szCs w:val="28"/>
        </w:rPr>
        <w:t xml:space="preserve">нистрации </w:t>
      </w:r>
      <w:r w:rsidR="00402DEB">
        <w:rPr>
          <w:sz w:val="28"/>
          <w:szCs w:val="28"/>
        </w:rPr>
        <w:t xml:space="preserve">Белокалитвинского городского поселения </w:t>
      </w:r>
      <w:proofErr w:type="spellStart"/>
      <w:r w:rsidR="005A0EBB">
        <w:rPr>
          <w:sz w:val="28"/>
          <w:szCs w:val="28"/>
        </w:rPr>
        <w:t>Стацуру</w:t>
      </w:r>
      <w:proofErr w:type="spellEnd"/>
      <w:r w:rsidR="005A0EBB">
        <w:rPr>
          <w:sz w:val="28"/>
          <w:szCs w:val="28"/>
        </w:rPr>
        <w:t xml:space="preserve"> А.А.</w:t>
      </w:r>
    </w:p>
    <w:p w:rsidR="00995CD6" w:rsidRPr="00995CD6" w:rsidRDefault="00995CD6" w:rsidP="00995CD6">
      <w:pPr>
        <w:jc w:val="both"/>
        <w:rPr>
          <w:sz w:val="28"/>
          <w:szCs w:val="28"/>
        </w:rPr>
      </w:pPr>
    </w:p>
    <w:p w:rsidR="00CF44A3" w:rsidRDefault="00CF44A3" w:rsidP="00CF44A3">
      <w:pPr>
        <w:jc w:val="both"/>
        <w:rPr>
          <w:sz w:val="28"/>
          <w:szCs w:val="28"/>
        </w:rPr>
      </w:pPr>
    </w:p>
    <w:p w:rsidR="00724A06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F44A3" w:rsidRPr="002C0BB6">
        <w:rPr>
          <w:bCs/>
          <w:sz w:val="28"/>
          <w:szCs w:val="28"/>
        </w:rPr>
        <w:t xml:space="preserve"> Администрации</w:t>
      </w:r>
    </w:p>
    <w:p w:rsidR="005A0EBB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Белокалитвинского </w:t>
      </w:r>
    </w:p>
    <w:p w:rsidR="00CF44A3" w:rsidRDefault="00724A06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5A0EBB">
        <w:rPr>
          <w:bCs/>
          <w:sz w:val="28"/>
          <w:szCs w:val="28"/>
        </w:rPr>
        <w:tab/>
      </w:r>
      <w:r w:rsidR="0018702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Н.А. Тимошенко</w:t>
      </w:r>
    </w:p>
    <w:p w:rsidR="00CF44A3" w:rsidRDefault="00CF44A3" w:rsidP="00CF44A3">
      <w:pPr>
        <w:ind w:left="1416"/>
        <w:jc w:val="both"/>
        <w:rPr>
          <w:sz w:val="28"/>
          <w:szCs w:val="28"/>
        </w:rPr>
      </w:pPr>
    </w:p>
    <w:p w:rsidR="00B1493A" w:rsidRDefault="00B1493A" w:rsidP="00B1493A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1493A" w:rsidRDefault="00B1493A" w:rsidP="00B1493A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187024" w:rsidRDefault="00187024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F44A3" w:rsidRPr="00607636" w:rsidRDefault="00CF44A3" w:rsidP="00CF44A3">
      <w:pPr>
        <w:ind w:left="5664" w:firstLine="708"/>
        <w:jc w:val="right"/>
        <w:rPr>
          <w:bCs/>
        </w:rPr>
      </w:pPr>
      <w:r w:rsidRPr="00607636">
        <w:rPr>
          <w:bCs/>
        </w:rPr>
        <w:lastRenderedPageBreak/>
        <w:t>Приложение</w:t>
      </w:r>
      <w:r w:rsidR="00187024">
        <w:rPr>
          <w:bCs/>
        </w:rPr>
        <w:t xml:space="preserve"> 1</w:t>
      </w:r>
    </w:p>
    <w:p w:rsidR="00CF44A3" w:rsidRDefault="00CF44A3" w:rsidP="00CF44A3">
      <w:pPr>
        <w:widowControl w:val="0"/>
        <w:autoSpaceDE w:val="0"/>
        <w:autoSpaceDN w:val="0"/>
        <w:adjustRightInd w:val="0"/>
        <w:ind w:left="4962"/>
        <w:jc w:val="right"/>
      </w:pPr>
      <w:r w:rsidRPr="00607636">
        <w:t xml:space="preserve">к постановлению  </w:t>
      </w:r>
    </w:p>
    <w:p w:rsidR="00CF44A3" w:rsidRPr="00607636" w:rsidRDefault="00CF44A3" w:rsidP="00CF44A3">
      <w:pPr>
        <w:widowControl w:val="0"/>
        <w:autoSpaceDE w:val="0"/>
        <w:autoSpaceDN w:val="0"/>
        <w:adjustRightInd w:val="0"/>
        <w:ind w:left="4962"/>
        <w:jc w:val="right"/>
      </w:pPr>
      <w:r w:rsidRPr="00607636">
        <w:t xml:space="preserve">Администрации </w:t>
      </w:r>
      <w:r w:rsidR="009055A9">
        <w:t>Белокалитвинского городского поселения</w:t>
      </w:r>
    </w:p>
    <w:p w:rsidR="00CF44A3" w:rsidRPr="00607636" w:rsidRDefault="00B1493A" w:rsidP="00CF44A3">
      <w:pPr>
        <w:widowControl w:val="0"/>
        <w:autoSpaceDE w:val="0"/>
        <w:autoSpaceDN w:val="0"/>
        <w:adjustRightInd w:val="0"/>
        <w:ind w:left="4962"/>
        <w:jc w:val="right"/>
      </w:pPr>
      <w:r>
        <w:t>от 18.11.</w:t>
      </w:r>
      <w:r w:rsidR="00CF44A3" w:rsidRPr="00607636">
        <w:t>202</w:t>
      </w:r>
      <w:r w:rsidR="00187024">
        <w:t>4</w:t>
      </w:r>
      <w:r>
        <w:t xml:space="preserve"> г. № 539</w:t>
      </w:r>
    </w:p>
    <w:p w:rsidR="00CF44A3" w:rsidRPr="000925AA" w:rsidRDefault="00CF44A3" w:rsidP="00CF44A3">
      <w:pPr>
        <w:widowControl w:val="0"/>
        <w:autoSpaceDE w:val="0"/>
        <w:autoSpaceDN w:val="0"/>
        <w:adjustRightInd w:val="0"/>
        <w:ind w:left="5220"/>
        <w:jc w:val="right"/>
        <w:rPr>
          <w:sz w:val="28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  <w:r w:rsidRPr="000925AA">
        <w:rPr>
          <w:b/>
          <w:bCs/>
          <w:sz w:val="28"/>
          <w:szCs w:val="28"/>
        </w:rPr>
        <w:t>Программа</w:t>
      </w:r>
      <w:r w:rsidR="009055A9">
        <w:rPr>
          <w:b/>
          <w:bCs/>
          <w:sz w:val="28"/>
          <w:szCs w:val="28"/>
        </w:rPr>
        <w:t xml:space="preserve"> </w:t>
      </w:r>
      <w:r w:rsidRPr="00D44526">
        <w:rPr>
          <w:b/>
          <w:bCs/>
          <w:sz w:val="28"/>
          <w:szCs w:val="28"/>
        </w:rPr>
        <w:t xml:space="preserve">профилактики </w:t>
      </w:r>
    </w:p>
    <w:p w:rsidR="005E33EA" w:rsidRDefault="00DB6CB3" w:rsidP="00CF44A3">
      <w:pPr>
        <w:jc w:val="center"/>
        <w:rPr>
          <w:b/>
          <w:bCs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55A9">
        <w:rPr>
          <w:b/>
          <w:bCs/>
          <w:sz w:val="28"/>
          <w:szCs w:val="28"/>
        </w:rPr>
        <w:t xml:space="preserve">Белокалитвинского городского поселения </w:t>
      </w:r>
    </w:p>
    <w:p w:rsidR="00CF44A3" w:rsidRDefault="00DB6CB3" w:rsidP="00CF44A3">
      <w:pPr>
        <w:jc w:val="center"/>
        <w:rPr>
          <w:b/>
          <w:bCs/>
          <w:sz w:val="28"/>
          <w:szCs w:val="28"/>
        </w:rPr>
      </w:pPr>
      <w:r w:rsidRPr="00637572">
        <w:rPr>
          <w:b/>
          <w:bCs/>
          <w:sz w:val="28"/>
          <w:szCs w:val="28"/>
        </w:rPr>
        <w:t xml:space="preserve">на </w:t>
      </w:r>
      <w:r w:rsidR="005E33EA">
        <w:rPr>
          <w:b/>
          <w:bCs/>
          <w:sz w:val="28"/>
          <w:szCs w:val="28"/>
        </w:rPr>
        <w:t>2025</w:t>
      </w:r>
      <w:r w:rsidRPr="00637572">
        <w:rPr>
          <w:b/>
          <w:bCs/>
          <w:sz w:val="28"/>
          <w:szCs w:val="28"/>
        </w:rPr>
        <w:t xml:space="preserve"> год</w:t>
      </w:r>
    </w:p>
    <w:p w:rsidR="00DB6CB3" w:rsidRPr="002C0BB6" w:rsidRDefault="00DB6CB3" w:rsidP="00CF44A3">
      <w:pPr>
        <w:jc w:val="center"/>
        <w:rPr>
          <w:b/>
          <w:bCs/>
          <w:sz w:val="28"/>
          <w:szCs w:val="28"/>
        </w:rPr>
      </w:pPr>
    </w:p>
    <w:p w:rsidR="00CF44A3" w:rsidRDefault="00CF44A3" w:rsidP="00CF4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B7192">
        <w:rPr>
          <w:b/>
          <w:sz w:val="28"/>
          <w:szCs w:val="28"/>
        </w:rPr>
        <w:t>Общие положения</w:t>
      </w:r>
    </w:p>
    <w:p w:rsidR="00CF44A3" w:rsidRPr="007B7192" w:rsidRDefault="00CF44A3" w:rsidP="00CF44A3">
      <w:pPr>
        <w:jc w:val="center"/>
        <w:rPr>
          <w:b/>
          <w:sz w:val="28"/>
          <w:szCs w:val="28"/>
        </w:rPr>
      </w:pPr>
    </w:p>
    <w:p w:rsidR="00CF44A3" w:rsidRPr="009C7DAD" w:rsidRDefault="00CF44A3" w:rsidP="00CF4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5AA">
        <w:rPr>
          <w:sz w:val="28"/>
          <w:szCs w:val="28"/>
        </w:rPr>
        <w:t xml:space="preserve">1.1. </w:t>
      </w:r>
      <w:proofErr w:type="gramStart"/>
      <w:r w:rsidRPr="00CB7145">
        <w:rPr>
          <w:sz w:val="28"/>
          <w:szCs w:val="28"/>
        </w:rPr>
        <w:t xml:space="preserve">Программа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при осуществлении </w:t>
      </w:r>
      <w:r w:rsidRPr="009C7DAD">
        <w:rPr>
          <w:sz w:val="28"/>
          <w:szCs w:val="28"/>
        </w:rPr>
        <w:t xml:space="preserve">муниципального контроля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18C1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(далее-Программа), </w:t>
      </w:r>
      <w:r w:rsidRPr="00CB7145">
        <w:rPr>
          <w:sz w:val="28"/>
          <w:szCs w:val="28"/>
        </w:rPr>
        <w:t xml:space="preserve">устанавливает порядок проведения </w:t>
      </w:r>
      <w:r>
        <w:rPr>
          <w:sz w:val="28"/>
          <w:szCs w:val="28"/>
        </w:rPr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C7DAD">
        <w:rPr>
          <w:sz w:val="28"/>
          <w:szCs w:val="28"/>
        </w:rPr>
        <w:t xml:space="preserve">муниципального контроля </w:t>
      </w:r>
      <w:r w:rsidR="00C2591E" w:rsidRPr="00C2591E">
        <w:rPr>
          <w:sz w:val="28"/>
          <w:szCs w:val="28"/>
        </w:rPr>
        <w:t>на автомобильном транспорте, городском наземном электрическом</w:t>
      </w:r>
      <w:proofErr w:type="gramEnd"/>
      <w:r w:rsidR="00C2591E" w:rsidRPr="00C2591E">
        <w:rPr>
          <w:sz w:val="28"/>
          <w:szCs w:val="28"/>
        </w:rPr>
        <w:t xml:space="preserve"> </w:t>
      </w:r>
      <w:proofErr w:type="gramStart"/>
      <w:r w:rsidR="00C2591E" w:rsidRPr="00C2591E">
        <w:rPr>
          <w:sz w:val="28"/>
          <w:szCs w:val="28"/>
        </w:rPr>
        <w:t>транспорте</w:t>
      </w:r>
      <w:proofErr w:type="gramEnd"/>
      <w:r w:rsidR="00C2591E" w:rsidRPr="00C2591E">
        <w:rPr>
          <w:sz w:val="28"/>
          <w:szCs w:val="28"/>
        </w:rPr>
        <w:t xml:space="preserve">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 – муниципальный контроль).</w:t>
      </w:r>
    </w:p>
    <w:p w:rsidR="00CF44A3" w:rsidRDefault="00CF44A3" w:rsidP="00CF44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5AA">
        <w:rPr>
          <w:sz w:val="28"/>
          <w:szCs w:val="28"/>
        </w:rPr>
        <w:t xml:space="preserve">1.2. Профилактика </w:t>
      </w:r>
      <w:r w:rsidRPr="00CB7145">
        <w:rPr>
          <w:sz w:val="28"/>
          <w:szCs w:val="28"/>
        </w:rPr>
        <w:t xml:space="preserve">рисков причинения вреда (ущерба) </w:t>
      </w:r>
      <w:r>
        <w:rPr>
          <w:sz w:val="28"/>
          <w:szCs w:val="28"/>
        </w:rPr>
        <w:t>охраняемым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E2362C">
        <w:rPr>
          <w:sz w:val="28"/>
          <w:szCs w:val="28"/>
        </w:rPr>
        <w:t xml:space="preserve"> </w:t>
      </w:r>
      <w:r w:rsidRPr="000925AA">
        <w:rPr>
          <w:sz w:val="28"/>
          <w:szCs w:val="28"/>
        </w:rPr>
        <w:t xml:space="preserve">проводится в рамках осуществления муниципального </w:t>
      </w:r>
      <w:r>
        <w:rPr>
          <w:sz w:val="28"/>
          <w:szCs w:val="28"/>
        </w:rPr>
        <w:t>контроля</w:t>
      </w:r>
      <w:r w:rsidR="00E2362C">
        <w:rPr>
          <w:sz w:val="28"/>
          <w:szCs w:val="28"/>
        </w:rPr>
        <w:t xml:space="preserve">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>.</w:t>
      </w:r>
    </w:p>
    <w:p w:rsidR="00CF44A3" w:rsidRPr="00CC52B5" w:rsidRDefault="00CF44A3" w:rsidP="00CF4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1CE">
        <w:rPr>
          <w:sz w:val="28"/>
          <w:szCs w:val="28"/>
        </w:rPr>
        <w:t xml:space="preserve">1.3. Мероприятия по </w:t>
      </w:r>
      <w:r w:rsidRPr="00B87A5E">
        <w:rPr>
          <w:sz w:val="28"/>
          <w:szCs w:val="28"/>
        </w:rPr>
        <w:t xml:space="preserve">профилактике </w:t>
      </w:r>
      <w:r w:rsidRPr="001B11C1">
        <w:rPr>
          <w:sz w:val="28"/>
          <w:szCs w:val="28"/>
        </w:rPr>
        <w:t>рисков причинения вреда (ущерба) охраняемым законом ценностям, осуществля</w:t>
      </w:r>
      <w:r>
        <w:rPr>
          <w:sz w:val="28"/>
          <w:szCs w:val="28"/>
        </w:rPr>
        <w:t>е</w:t>
      </w:r>
      <w:r w:rsidRPr="001B11C1">
        <w:rPr>
          <w:sz w:val="28"/>
          <w:szCs w:val="28"/>
        </w:rPr>
        <w:t>т муниципальны</w:t>
      </w:r>
      <w:r>
        <w:rPr>
          <w:sz w:val="28"/>
          <w:szCs w:val="28"/>
        </w:rPr>
        <w:t>й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служащий</w:t>
      </w:r>
      <w:r w:rsidRPr="001B11C1">
        <w:rPr>
          <w:sz w:val="28"/>
          <w:szCs w:val="28"/>
        </w:rPr>
        <w:t xml:space="preserve"> отдела </w:t>
      </w:r>
      <w:r w:rsidR="00E2362C"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 xml:space="preserve"> Администрации </w:t>
      </w:r>
      <w:r w:rsidR="00E2362C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(далее уполномоченные лица)</w:t>
      </w:r>
      <w:r w:rsidR="00E2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органа, </w:t>
      </w:r>
      <w:r w:rsidRPr="001B11C1">
        <w:rPr>
          <w:sz w:val="28"/>
          <w:szCs w:val="28"/>
        </w:rPr>
        <w:t>уполномоченны</w:t>
      </w:r>
      <w:r>
        <w:rPr>
          <w:sz w:val="28"/>
          <w:szCs w:val="28"/>
        </w:rPr>
        <w:t>е</w:t>
      </w:r>
      <w:r w:rsidRPr="001B11C1">
        <w:rPr>
          <w:sz w:val="28"/>
          <w:szCs w:val="28"/>
        </w:rPr>
        <w:t xml:space="preserve"> на осуществление муниципального</w:t>
      </w:r>
      <w:r w:rsidR="00E2362C">
        <w:rPr>
          <w:sz w:val="28"/>
          <w:szCs w:val="28"/>
        </w:rPr>
        <w:t xml:space="preserve"> </w:t>
      </w:r>
      <w:r w:rsidRPr="001665D7">
        <w:rPr>
          <w:sz w:val="28"/>
          <w:szCs w:val="28"/>
        </w:rPr>
        <w:t>контроля</w:t>
      </w:r>
      <w:r w:rsidR="00E2362C">
        <w:rPr>
          <w:sz w:val="28"/>
          <w:szCs w:val="28"/>
        </w:rPr>
        <w:t xml:space="preserve"> </w:t>
      </w:r>
      <w:r w:rsidR="00C2591E" w:rsidRPr="00C2591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2362C">
        <w:rPr>
          <w:sz w:val="28"/>
          <w:szCs w:val="28"/>
        </w:rPr>
        <w:t>Белокалитвинского городского поселения</w:t>
      </w:r>
      <w:r w:rsidRPr="00CC52B5">
        <w:rPr>
          <w:sz w:val="28"/>
          <w:szCs w:val="28"/>
        </w:rPr>
        <w:t>.</w:t>
      </w:r>
    </w:p>
    <w:p w:rsidR="001806F4" w:rsidRPr="003717F2" w:rsidRDefault="00CF44A3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F4">
        <w:rPr>
          <w:rFonts w:ascii="Times New Roman" w:hAnsi="Times New Roman" w:cs="Times New Roman"/>
          <w:sz w:val="28"/>
          <w:szCs w:val="28"/>
        </w:rPr>
        <w:t xml:space="preserve">1.4. Предметом муниципального контроля </w:t>
      </w:r>
      <w:r w:rsidR="001806F4" w:rsidRPr="001806F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B368C">
        <w:rPr>
          <w:rFonts w:ascii="Times New Roman" w:hAnsi="Times New Roman" w:cs="Times New Roman"/>
          <w:sz w:val="28"/>
          <w:szCs w:val="28"/>
        </w:rPr>
        <w:t xml:space="preserve">Белокалитвинского городского </w:t>
      </w:r>
      <w:r w:rsidR="005B368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1806F4" w:rsidRPr="003717F2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5B368C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5B368C">
        <w:rPr>
          <w:rFonts w:ascii="Times New Roman" w:eastAsia="Times New Roman" w:hAnsi="Times New Roman" w:cs="Times New Roman"/>
          <w:sz w:val="28"/>
          <w:szCs w:val="28"/>
        </w:rPr>
        <w:t>Белокалитвинского городского поселения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Pr="003717F2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3717F2">
        <w:rPr>
          <w:rFonts w:ascii="Times New Roman" w:eastAsia="Times New Roman" w:hAnsi="Times New Roman" w:cs="Times New Roman"/>
          <w:sz w:val="28"/>
          <w:szCs w:val="28"/>
        </w:rPr>
        <w:t>втомобильные дороги общего пользования местного значения):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C248EE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</w:t>
      </w:r>
      <w:r w:rsidRPr="00371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06F4" w:rsidRPr="003717F2" w:rsidRDefault="001806F4" w:rsidP="001806F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F2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F44A3" w:rsidRPr="00CB7145" w:rsidRDefault="00CF44A3" w:rsidP="001806F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F44A3" w:rsidRPr="00A577C0" w:rsidRDefault="00CF44A3" w:rsidP="00CF44A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 w:rsidRPr="009C7DAD">
        <w:rPr>
          <w:rFonts w:ascii="Times New Roman" w:hAnsi="Times New Roman" w:cs="Times New Roman"/>
          <w:bCs w:val="0"/>
          <w:sz w:val="28"/>
        </w:rPr>
        <w:t>2.</w:t>
      </w:r>
      <w:r w:rsidRPr="00A577C0">
        <w:rPr>
          <w:rFonts w:ascii="Times New Roman" w:hAnsi="Times New Roman" w:cs="Times New Roman"/>
          <w:bCs w:val="0"/>
          <w:sz w:val="28"/>
        </w:rPr>
        <w:t xml:space="preserve">Анализ текущего состояния осуществления </w:t>
      </w:r>
      <w:r>
        <w:rPr>
          <w:rFonts w:ascii="Times New Roman" w:hAnsi="Times New Roman" w:cs="Times New Roman"/>
          <w:bCs w:val="0"/>
          <w:sz w:val="28"/>
        </w:rPr>
        <w:t>муниципального</w:t>
      </w:r>
      <w:r w:rsidRPr="00A577C0">
        <w:rPr>
          <w:rFonts w:ascii="Times New Roman" w:hAnsi="Times New Roman" w:cs="Times New Roman"/>
          <w:bCs w:val="0"/>
          <w:sz w:val="28"/>
        </w:rPr>
        <w:t xml:space="preserve"> контроля, описание </w:t>
      </w:r>
      <w:r>
        <w:rPr>
          <w:rFonts w:ascii="Times New Roman" w:hAnsi="Times New Roman" w:cs="Times New Roman"/>
          <w:bCs w:val="0"/>
          <w:sz w:val="28"/>
        </w:rPr>
        <w:t xml:space="preserve">текущего </w:t>
      </w:r>
      <w:r w:rsidRPr="00A577C0">
        <w:rPr>
          <w:rFonts w:ascii="Times New Roman" w:hAnsi="Times New Roman" w:cs="Times New Roman"/>
          <w:bCs w:val="0"/>
          <w:sz w:val="28"/>
        </w:rPr>
        <w:t xml:space="preserve">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Times New Roman" w:hAnsi="Times New Roman" w:cs="Times New Roman"/>
          <w:bCs w:val="0"/>
          <w:sz w:val="28"/>
        </w:rPr>
        <w:t>П</w:t>
      </w:r>
      <w:r w:rsidRPr="00A577C0">
        <w:rPr>
          <w:rFonts w:ascii="Times New Roman" w:hAnsi="Times New Roman" w:cs="Times New Roman"/>
          <w:bCs w:val="0"/>
          <w:sz w:val="28"/>
        </w:rPr>
        <w:t>рограмма</w:t>
      </w:r>
    </w:p>
    <w:p w:rsidR="00CF44A3" w:rsidRPr="00A577C0" w:rsidRDefault="00CF44A3" w:rsidP="00CF44A3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D80E41" w:rsidRPr="00D80E41" w:rsidRDefault="00CF44A3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7C0">
        <w:rPr>
          <w:rFonts w:ascii="Times New Roman" w:hAnsi="Times New Roman" w:cs="Times New Roman"/>
          <w:sz w:val="28"/>
          <w:szCs w:val="28"/>
        </w:rPr>
        <w:tab/>
      </w:r>
      <w:r w:rsidR="00D80E41" w:rsidRPr="00D80E41">
        <w:rPr>
          <w:rFonts w:ascii="Times New Roman" w:hAnsi="Times New Roman" w:cs="Times New Roman"/>
          <w:sz w:val="28"/>
          <w:szCs w:val="28"/>
        </w:rPr>
        <w:t>Подконтрольные субъекты: граждане, индивидуальные предприниматели,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D80E41" w:rsidRPr="00D80E41" w:rsidRDefault="00F80E0E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Белокалитвинского городского поселения </w:t>
      </w:r>
      <w:r w:rsidR="00D80E41" w:rsidRPr="00D80E41">
        <w:rPr>
          <w:rFonts w:ascii="Times New Roman" w:hAnsi="Times New Roman" w:cs="Times New Roman"/>
          <w:sz w:val="28"/>
          <w:szCs w:val="28"/>
        </w:rPr>
        <w:t>будет осуществлять с 01.01.20</w:t>
      </w:r>
      <w:r w:rsidR="00187024">
        <w:rPr>
          <w:rFonts w:ascii="Times New Roman" w:hAnsi="Times New Roman" w:cs="Times New Roman"/>
          <w:sz w:val="28"/>
          <w:szCs w:val="28"/>
        </w:rPr>
        <w:t>24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 года, в связи с чем</w:t>
      </w:r>
      <w:r w:rsidR="002B3302">
        <w:rPr>
          <w:rFonts w:ascii="Times New Roman" w:hAnsi="Times New Roman" w:cs="Times New Roman"/>
          <w:sz w:val="28"/>
          <w:szCs w:val="28"/>
        </w:rPr>
        <w:t>,</w:t>
      </w:r>
      <w:r w:rsidR="00D80E41" w:rsidRPr="00D80E41">
        <w:rPr>
          <w:rFonts w:ascii="Times New Roman" w:hAnsi="Times New Roman" w:cs="Times New Roman"/>
          <w:sz w:val="28"/>
          <w:szCs w:val="28"/>
        </w:rPr>
        <w:t xml:space="preserve"> </w:t>
      </w:r>
      <w:r w:rsidR="00BE686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проверки, </w:t>
      </w:r>
      <w:r w:rsidR="00D80E41" w:rsidRPr="00D80E41">
        <w:rPr>
          <w:rFonts w:ascii="Times New Roman" w:hAnsi="Times New Roman" w:cs="Times New Roman"/>
          <w:sz w:val="28"/>
          <w:szCs w:val="28"/>
        </w:rPr>
        <w:t>мероприятия по контролю, мероприятия по профилактике нарушений не пр</w:t>
      </w:r>
      <w:r w:rsidR="00BE686F">
        <w:rPr>
          <w:rFonts w:ascii="Times New Roman" w:hAnsi="Times New Roman" w:cs="Times New Roman"/>
          <w:sz w:val="28"/>
          <w:szCs w:val="28"/>
        </w:rPr>
        <w:t>оводились</w:t>
      </w:r>
      <w:r w:rsidR="00D80E41" w:rsidRPr="00D80E41">
        <w:rPr>
          <w:rFonts w:ascii="Times New Roman" w:hAnsi="Times New Roman" w:cs="Times New Roman"/>
          <w:sz w:val="28"/>
          <w:szCs w:val="28"/>
        </w:rPr>
        <w:t>.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Обяз</w:t>
      </w:r>
      <w:r w:rsidR="002B3302">
        <w:rPr>
          <w:rFonts w:ascii="Times New Roman" w:hAnsi="Times New Roman" w:cs="Times New Roman"/>
          <w:sz w:val="28"/>
          <w:szCs w:val="28"/>
        </w:rPr>
        <w:t>ательные требования,</w:t>
      </w:r>
      <w:r w:rsidRPr="00D80E41">
        <w:rPr>
          <w:rFonts w:ascii="Times New Roman" w:hAnsi="Times New Roman" w:cs="Times New Roman"/>
          <w:sz w:val="28"/>
          <w:szCs w:val="28"/>
        </w:rPr>
        <w:t xml:space="preserve"> установленные муниципальными правовыми актами, оценка соблюдения которых является предметом муниципального контроля: 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 xml:space="preserve">- в области автомобильных дорог и дорожной деятельности, установленных в отношении дорог </w:t>
      </w:r>
      <w:r w:rsidR="005F2DAB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80E41">
        <w:rPr>
          <w:rFonts w:ascii="Times New Roman" w:hAnsi="Times New Roman" w:cs="Times New Roman"/>
          <w:sz w:val="28"/>
          <w:szCs w:val="28"/>
        </w:rPr>
        <w:t>местного значения: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5F2DA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D80E41">
        <w:rPr>
          <w:rFonts w:ascii="Times New Roman" w:hAnsi="Times New Roman" w:cs="Times New Roman"/>
          <w:sz w:val="28"/>
          <w:szCs w:val="28"/>
        </w:rPr>
        <w:t>; к осуществлению работ по капитальному ремонту, ремонту и содержанию автомобильных дорог общего пользования</w:t>
      </w:r>
      <w:r w:rsidR="005F2DA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5F2DAB">
        <w:rPr>
          <w:rFonts w:ascii="Times New Roman" w:hAnsi="Times New Roman" w:cs="Times New Roman"/>
          <w:sz w:val="28"/>
          <w:szCs w:val="28"/>
        </w:rPr>
        <w:lastRenderedPageBreak/>
        <w:t>значения</w:t>
      </w:r>
      <w:r w:rsidRPr="00D80E41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 (включая требования к дорожно-строительным материалам и изделиям) в части обеспечения сохранности автомобильных дорог;  </w:t>
      </w:r>
    </w:p>
    <w:p w:rsidR="00187024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- установленных в отношении перевозок по муниципальным маршрутам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государственного контроля (надзора) на автомобильном транспорте, городском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области</w:t>
      </w:r>
      <w:r w:rsidR="00EB39CC">
        <w:rPr>
          <w:rFonts w:ascii="Times New Roman" w:hAnsi="Times New Roman" w:cs="Times New Roman"/>
          <w:sz w:val="28"/>
          <w:szCs w:val="28"/>
        </w:rPr>
        <w:t xml:space="preserve"> </w:t>
      </w:r>
      <w:r w:rsidRPr="00D80E41">
        <w:rPr>
          <w:rFonts w:ascii="Times New Roman" w:hAnsi="Times New Roman" w:cs="Times New Roman"/>
          <w:sz w:val="28"/>
          <w:szCs w:val="28"/>
        </w:rPr>
        <w:t>организации регулярных перевозок.</w:t>
      </w:r>
    </w:p>
    <w:p w:rsidR="00D80E41" w:rsidRPr="00D80E41" w:rsidRDefault="00D80E41" w:rsidP="00187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 xml:space="preserve">Анализ и оценка рисков причинения вреда охраняемым законом ценностям и (или) анализ и оценка причинения ущерба: </w:t>
      </w:r>
    </w:p>
    <w:p w:rsidR="00F709B3" w:rsidRDefault="00D80E41" w:rsidP="00963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 </w:t>
      </w:r>
      <w:r w:rsidR="00963DB0">
        <w:rPr>
          <w:rFonts w:ascii="Times New Roman" w:hAnsi="Times New Roman" w:cs="Times New Roman"/>
          <w:sz w:val="28"/>
          <w:szCs w:val="28"/>
        </w:rPr>
        <w:t>безопасность дорожного движения.</w:t>
      </w:r>
    </w:p>
    <w:p w:rsidR="00963DB0" w:rsidRPr="00963DB0" w:rsidRDefault="00963DB0" w:rsidP="00963DB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F44A3" w:rsidRDefault="00CF44A3" w:rsidP="00B5215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B7192">
        <w:rPr>
          <w:b/>
          <w:bCs/>
          <w:sz w:val="28"/>
          <w:szCs w:val="28"/>
        </w:rPr>
        <w:t xml:space="preserve">. Цели и задачи </w:t>
      </w:r>
      <w:r>
        <w:rPr>
          <w:b/>
          <w:bCs/>
          <w:sz w:val="28"/>
          <w:szCs w:val="28"/>
        </w:rPr>
        <w:t>реализации П</w:t>
      </w:r>
      <w:r w:rsidRPr="007B7192">
        <w:rPr>
          <w:b/>
          <w:bCs/>
          <w:sz w:val="28"/>
          <w:szCs w:val="28"/>
        </w:rPr>
        <w:t xml:space="preserve">рограммы </w:t>
      </w:r>
    </w:p>
    <w:p w:rsidR="00AF2521" w:rsidRPr="00AF2521" w:rsidRDefault="00AF2521" w:rsidP="00AF2521">
      <w:pPr>
        <w:pStyle w:val="a7"/>
      </w:pPr>
    </w:p>
    <w:p w:rsidR="00AF2521" w:rsidRPr="00130EDC" w:rsidRDefault="00CF44A3" w:rsidP="00130E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4476" w:rsidRPr="00624476">
        <w:rPr>
          <w:sz w:val="28"/>
          <w:szCs w:val="28"/>
        </w:rPr>
        <w:t xml:space="preserve">Цели Программы: </w:t>
      </w:r>
    </w:p>
    <w:p w:rsidR="00FB3B9E" w:rsidRDefault="00FB7B9C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FB3B9E">
        <w:rPr>
          <w:sz w:val="28"/>
          <w:szCs w:val="28"/>
        </w:rPr>
        <w:t>ности о способах их соблюдения;</w:t>
      </w:r>
    </w:p>
    <w:p w:rsidR="00FB7B9C" w:rsidRPr="00624476" w:rsidRDefault="00FB7B9C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7B9C" w:rsidRPr="00FB7B9C" w:rsidRDefault="00FB7B9C" w:rsidP="0002775E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FB7B9C">
        <w:rPr>
          <w:sz w:val="28"/>
          <w:szCs w:val="28"/>
        </w:rPr>
        <w:t>- предупреждение нарушений об</w:t>
      </w:r>
      <w:r>
        <w:rPr>
          <w:sz w:val="28"/>
          <w:szCs w:val="28"/>
        </w:rPr>
        <w:t xml:space="preserve">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в не </w:t>
      </w:r>
      <w:r>
        <w:rPr>
          <w:sz w:val="28"/>
          <w:szCs w:val="28"/>
        </w:rPr>
        <w:lastRenderedPageBreak/>
        <w:t>границ населенных пунктов в границах сельских поселений на территории Белокалитвинского городского поселения;</w:t>
      </w:r>
      <w:proofErr w:type="gramEnd"/>
    </w:p>
    <w:p w:rsid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стимулирование добросовестного </w:t>
      </w:r>
      <w:r w:rsidR="00AF2521">
        <w:rPr>
          <w:sz w:val="28"/>
          <w:szCs w:val="28"/>
        </w:rPr>
        <w:t>поведения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в границах Белокалитвинского городского поселения.</w:t>
      </w:r>
    </w:p>
    <w:p w:rsidR="00AF2521" w:rsidRPr="00130EDC" w:rsidRDefault="00624476" w:rsidP="00130E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Задачи Программы: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</w:t>
      </w:r>
      <w:r w:rsidR="0009717B">
        <w:rPr>
          <w:sz w:val="28"/>
          <w:szCs w:val="28"/>
        </w:rPr>
        <w:t>ретных подконтрольных субъектов</w:t>
      </w:r>
      <w:r w:rsidRPr="00624476">
        <w:rPr>
          <w:sz w:val="28"/>
          <w:szCs w:val="28"/>
        </w:rPr>
        <w:t xml:space="preserve"> и проведение профилактических мероприятий с учетом данных факторов; </w:t>
      </w:r>
    </w:p>
    <w:p w:rsidR="00624476" w:rsidRPr="00624476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24476" w:rsidRPr="00624476" w:rsidRDefault="0009717B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476" w:rsidRPr="00624476">
        <w:rPr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CF44A3" w:rsidRPr="0009717B" w:rsidRDefault="00624476" w:rsidP="000277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476">
        <w:rPr>
          <w:sz w:val="28"/>
          <w:szCs w:val="28"/>
        </w:rPr>
        <w:t xml:space="preserve">- повышение </w:t>
      </w:r>
      <w:r w:rsidRPr="0009717B">
        <w:rPr>
          <w:sz w:val="28"/>
          <w:szCs w:val="28"/>
        </w:rPr>
        <w:t>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09717B" w:rsidRPr="0009717B">
        <w:rPr>
          <w:sz w:val="28"/>
          <w:szCs w:val="28"/>
        </w:rPr>
        <w:t>бходимых мерах по их исполнению;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 w:rsidRPr="0009717B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09717B" w:rsidRDefault="0009717B" w:rsidP="000277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02775E" w:rsidRDefault="0002775E" w:rsidP="0009717B">
      <w:pPr>
        <w:pStyle w:val="a7"/>
        <w:jc w:val="both"/>
        <w:rPr>
          <w:sz w:val="28"/>
          <w:szCs w:val="28"/>
        </w:rPr>
      </w:pPr>
    </w:p>
    <w:p w:rsidR="0002775E" w:rsidRDefault="0002775E" w:rsidP="0002775E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</w:t>
      </w:r>
      <w:r w:rsidRPr="003D3217">
        <w:rPr>
          <w:b/>
          <w:sz w:val="28"/>
          <w:szCs w:val="28"/>
        </w:rPr>
        <w:t xml:space="preserve">. </w:t>
      </w:r>
      <w:r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02775E" w:rsidRPr="0043709B" w:rsidRDefault="0002775E" w:rsidP="0002775E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187024" w:rsidRDefault="0002775E" w:rsidP="0002775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775E" w:rsidRDefault="0002775E" w:rsidP="0018702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2775E" w:rsidRDefault="0002775E" w:rsidP="0002775E">
      <w:pPr>
        <w:pStyle w:val="a7"/>
        <w:jc w:val="both"/>
        <w:rPr>
          <w:sz w:val="28"/>
          <w:szCs w:val="28"/>
        </w:rPr>
      </w:pPr>
      <w:r>
        <w:tab/>
      </w:r>
      <w:r w:rsidRPr="0002775E">
        <w:rPr>
          <w:sz w:val="28"/>
          <w:szCs w:val="28"/>
        </w:rPr>
        <w:t>- понятности – предоставление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02775E" w:rsidRDefault="0002775E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информационной открытости – доступность для подконтрольных субъектов сведений об организации и осуществлении профилактических </w:t>
      </w:r>
      <w:r>
        <w:rPr>
          <w:sz w:val="28"/>
          <w:szCs w:val="28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02775E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</w:t>
      </w:r>
      <w:proofErr w:type="spellStart"/>
      <w:r>
        <w:rPr>
          <w:sz w:val="28"/>
          <w:szCs w:val="28"/>
        </w:rPr>
        <w:t>качкства</w:t>
      </w:r>
      <w:proofErr w:type="spellEnd"/>
      <w:r>
        <w:rPr>
          <w:sz w:val="28"/>
          <w:szCs w:val="28"/>
        </w:rPr>
        <w:t xml:space="preserve"> и результативности;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полноты охвата – включение в программу профилактических мероприятий максимального числа подконтрольных субъектов;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45F4B" w:rsidRDefault="00245F4B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87024" w:rsidRPr="0002775E" w:rsidRDefault="001075BF" w:rsidP="000277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релевантности –</w:t>
      </w:r>
      <w:r w:rsidR="00187024">
        <w:rPr>
          <w:sz w:val="28"/>
          <w:szCs w:val="28"/>
        </w:rPr>
        <w:t xml:space="preserve"> </w:t>
      </w:r>
      <w:r w:rsidR="00187024" w:rsidRPr="00187024">
        <w:rPr>
          <w:sz w:val="28"/>
          <w:szCs w:val="28"/>
        </w:rPr>
        <w:t>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</w:t>
      </w:r>
    </w:p>
    <w:p w:rsidR="0002775E" w:rsidRPr="0002775E" w:rsidRDefault="0002775E" w:rsidP="0002775E">
      <w:pPr>
        <w:pStyle w:val="a7"/>
      </w:pPr>
    </w:p>
    <w:p w:rsidR="0002775E" w:rsidRDefault="0002775E" w:rsidP="00107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075BF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</w:t>
      </w:r>
    </w:p>
    <w:tbl>
      <w:tblPr>
        <w:tblStyle w:val="aa"/>
        <w:tblW w:w="104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5209"/>
      </w:tblGrid>
      <w:tr w:rsidR="001075BF" w:rsidTr="00CE237F">
        <w:tc>
          <w:tcPr>
            <w:tcW w:w="2235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976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5209" w:type="dxa"/>
          </w:tcPr>
          <w:p w:rsidR="001075BF" w:rsidRDefault="001075BF" w:rsidP="00107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075BF" w:rsidTr="00CE237F">
        <w:tc>
          <w:tcPr>
            <w:tcW w:w="2235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976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209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актуализация на официальном сайте Администрации Белокалитвинского городского поселения в сети «Интернет» сведений, предусмотренных частью 3 статьи 46 Федерального закона от 31.07.2020 №</w:t>
            </w:r>
            <w:r w:rsidR="005E3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1075BF" w:rsidTr="00CE237F">
        <w:tc>
          <w:tcPr>
            <w:tcW w:w="2235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976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 1 июля года, следующего за отчетным годом</w:t>
            </w:r>
          </w:p>
        </w:tc>
        <w:tc>
          <w:tcPr>
            <w:tcW w:w="5209" w:type="dxa"/>
          </w:tcPr>
          <w:p w:rsidR="001075BF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доклада о правоприменительной практике, содержащего результаты обобщения правоприменительной практики муниципального контроля в сфере автомобильного транспорта, городского наземного электрического транспорта и дорожного хозяйства</w:t>
            </w:r>
          </w:p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18D9" w:rsidTr="00CE237F">
        <w:tc>
          <w:tcPr>
            <w:tcW w:w="2235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18D9">
              <w:rPr>
                <w:sz w:val="28"/>
                <w:szCs w:val="28"/>
              </w:rPr>
              <w:t>Объявление предостережени</w:t>
            </w:r>
            <w:r w:rsidRPr="00C818D9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2976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позднее 30 дней со дня получения </w:t>
            </w:r>
            <w:r>
              <w:rPr>
                <w:sz w:val="28"/>
                <w:szCs w:val="28"/>
              </w:rPr>
              <w:lastRenderedPageBreak/>
              <w:t>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209" w:type="dxa"/>
          </w:tcPr>
          <w:p w:rsidR="00C818D9" w:rsidRDefault="00C818D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Посредством объявления контролируемому лицу</w:t>
            </w:r>
            <w:r w:rsidR="00381149">
              <w:rPr>
                <w:sz w:val="28"/>
                <w:szCs w:val="28"/>
              </w:rPr>
              <w:t xml:space="preserve"> предостережения </w:t>
            </w:r>
            <w:r w:rsidR="00381149">
              <w:rPr>
                <w:sz w:val="28"/>
                <w:szCs w:val="28"/>
              </w:rPr>
              <w:lastRenderedPageBreak/>
              <w:t>о недопустимости нарушения обязательных требований</w:t>
            </w:r>
          </w:p>
          <w:p w:rsidR="00381149" w:rsidRDefault="00381149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75BF" w:rsidTr="00CE237F">
        <w:tc>
          <w:tcPr>
            <w:tcW w:w="2235" w:type="dxa"/>
          </w:tcPr>
          <w:p w:rsidR="001075BF" w:rsidRDefault="001075BF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2976" w:type="dxa"/>
          </w:tcPr>
          <w:p w:rsidR="001075BF" w:rsidRDefault="009378D3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209" w:type="dxa"/>
          </w:tcPr>
          <w:p w:rsidR="001075BF" w:rsidRDefault="009378D3" w:rsidP="005E3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транспорта, городского наземного электрического транспорта и дорожного </w:t>
            </w:r>
          </w:p>
        </w:tc>
      </w:tr>
    </w:tbl>
    <w:p w:rsidR="005E33EA" w:rsidRDefault="005E33EA" w:rsidP="005E33EA">
      <w:pPr>
        <w:jc w:val="right"/>
        <w:rPr>
          <w:i/>
        </w:rPr>
      </w:pPr>
      <w:r>
        <w:br w:type="page"/>
      </w:r>
      <w:r w:rsidRPr="005E33EA">
        <w:rPr>
          <w:i/>
        </w:rPr>
        <w:lastRenderedPageBreak/>
        <w:t xml:space="preserve">Окончание табл. </w:t>
      </w:r>
    </w:p>
    <w:p w:rsidR="005E33EA" w:rsidRPr="005E33EA" w:rsidRDefault="005E33EA" w:rsidP="005E33EA">
      <w:pPr>
        <w:jc w:val="right"/>
        <w:rPr>
          <w:i/>
        </w:rPr>
      </w:pPr>
    </w:p>
    <w:tbl>
      <w:tblPr>
        <w:tblStyle w:val="aa"/>
        <w:tblW w:w="104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5209"/>
      </w:tblGrid>
      <w:tr w:rsidR="005E33EA" w:rsidTr="00CE237F">
        <w:tc>
          <w:tcPr>
            <w:tcW w:w="2235" w:type="dxa"/>
          </w:tcPr>
          <w:p w:rsidR="005E33EA" w:rsidRDefault="005E33EA" w:rsidP="00963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976" w:type="dxa"/>
          </w:tcPr>
          <w:p w:rsidR="005E33EA" w:rsidRDefault="005E33EA" w:rsidP="00963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5209" w:type="dxa"/>
          </w:tcPr>
          <w:p w:rsidR="005E33EA" w:rsidRDefault="005E33EA" w:rsidP="00963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5E33EA" w:rsidTr="00CE237F">
        <w:tc>
          <w:tcPr>
            <w:tcW w:w="2235" w:type="dxa"/>
          </w:tcPr>
          <w:p w:rsidR="005E33EA" w:rsidRDefault="005E33EA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E33EA" w:rsidRDefault="005E33EA" w:rsidP="00D97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5E33EA" w:rsidRDefault="005E33EA" w:rsidP="005E33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 осуществляется при личном обращении (по графику), посредством телефонной связи, электронной почты, видеоконференцсвязи (ВКС)</w:t>
            </w:r>
          </w:p>
        </w:tc>
      </w:tr>
    </w:tbl>
    <w:p w:rsidR="00187024" w:rsidRDefault="00187024" w:rsidP="00130EDC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97428" w:rsidRDefault="004B0CB3" w:rsidP="00130ED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5</w:t>
      </w:r>
      <w:r w:rsidR="00CF44A3" w:rsidRPr="00AA14FB">
        <w:rPr>
          <w:b/>
          <w:sz w:val="28"/>
        </w:rPr>
        <w:t xml:space="preserve">. </w:t>
      </w:r>
      <w:r w:rsidR="00097428"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</w:t>
      </w:r>
    </w:p>
    <w:p w:rsidR="00097428" w:rsidRPr="00422674" w:rsidRDefault="00097428" w:rsidP="000974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097428" w:rsidRDefault="00097428" w:rsidP="000974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9571" w:type="dxa"/>
        <w:tblInd w:w="108" w:type="dxa"/>
        <w:tblLook w:val="04A0" w:firstRow="1" w:lastRow="0" w:firstColumn="1" w:lastColumn="0" w:noHBand="0" w:noVBand="1"/>
      </w:tblPr>
      <w:tblGrid>
        <w:gridCol w:w="605"/>
        <w:gridCol w:w="5647"/>
        <w:gridCol w:w="1861"/>
        <w:gridCol w:w="1458"/>
      </w:tblGrid>
      <w:tr w:rsidR="009A3B31" w:rsidTr="00CE237F">
        <w:tc>
          <w:tcPr>
            <w:tcW w:w="605" w:type="dxa"/>
          </w:tcPr>
          <w:p w:rsidR="009A3B31" w:rsidRPr="009A3B31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647" w:type="dxa"/>
          </w:tcPr>
          <w:p w:rsidR="009A3B31" w:rsidRPr="009A3B31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1861" w:type="dxa"/>
          </w:tcPr>
          <w:p w:rsidR="009A3B31" w:rsidRPr="009A3B31" w:rsidRDefault="005E33EA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2024</w:t>
            </w:r>
            <w:r w:rsidR="009A3B31"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год (базовый абсолютный показатель)</w:t>
            </w:r>
          </w:p>
        </w:tc>
        <w:tc>
          <w:tcPr>
            <w:tcW w:w="1458" w:type="dxa"/>
          </w:tcPr>
          <w:p w:rsidR="009A3B31" w:rsidRPr="009A3B31" w:rsidRDefault="009A3B31" w:rsidP="005E33E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Целевое значение </w:t>
            </w:r>
            <w:r w:rsidR="005E33EA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2025</w:t>
            </w:r>
            <w:r w:rsidRPr="009A3B31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год, %</w:t>
            </w:r>
          </w:p>
        </w:tc>
      </w:tr>
      <w:tr w:rsidR="009A3B31" w:rsidRPr="00AF7206" w:rsidTr="00CE237F">
        <w:tc>
          <w:tcPr>
            <w:tcW w:w="605" w:type="dxa"/>
          </w:tcPr>
          <w:p w:rsidR="009A3B31" w:rsidRPr="00AF7206" w:rsidRDefault="009A3B31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7" w:type="dxa"/>
          </w:tcPr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861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58" w:type="dxa"/>
          </w:tcPr>
          <w:p w:rsidR="009A3B31" w:rsidRPr="00AF7206" w:rsidRDefault="009A3B31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50%</w:t>
            </w:r>
          </w:p>
        </w:tc>
      </w:tr>
      <w:tr w:rsidR="009A3B31" w:rsidRPr="00AF7206" w:rsidTr="00CE237F">
        <w:tc>
          <w:tcPr>
            <w:tcW w:w="605" w:type="dxa"/>
          </w:tcPr>
          <w:p w:rsidR="009A3B31" w:rsidRPr="00AF7206" w:rsidRDefault="009A3B31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7" w:type="dxa"/>
          </w:tcPr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F7206">
              <w:rPr>
                <w:color w:val="000000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AF7206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9A3B31" w:rsidRPr="00AF7206" w:rsidRDefault="009A3B31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AF7206">
              <w:rPr>
                <w:color w:val="000000"/>
                <w:sz w:val="28"/>
                <w:szCs w:val="28"/>
              </w:rPr>
              <w:t>официальном сайте</w:t>
            </w:r>
            <w:r w:rsidR="00DB34D3" w:rsidRPr="00AF7206">
              <w:rPr>
                <w:color w:val="000000"/>
                <w:sz w:val="28"/>
                <w:szCs w:val="28"/>
              </w:rPr>
              <w:t xml:space="preserve"> в сети «Интернет»</w:t>
            </w:r>
            <w:r w:rsidRPr="00AF7206">
              <w:rPr>
                <w:color w:val="000000"/>
                <w:sz w:val="28"/>
                <w:szCs w:val="28"/>
              </w:rPr>
              <w:t xml:space="preserve"> контрольного органа </w:t>
            </w:r>
            <w:r w:rsidR="00B43F42" w:rsidRPr="00AF7206">
              <w:rPr>
                <w:color w:val="000000"/>
                <w:sz w:val="28"/>
                <w:szCs w:val="28"/>
              </w:rPr>
              <w:t xml:space="preserve">в соответствии с частью 3 статьи 46 </w:t>
            </w:r>
            <w:r w:rsidR="00B43F42" w:rsidRPr="00AF7206">
              <w:rPr>
                <w:sz w:val="28"/>
                <w:szCs w:val="28"/>
              </w:rPr>
              <w:t>Федерального закона от 31.07.2020 №</w:t>
            </w:r>
            <w:r w:rsidR="005E33EA">
              <w:rPr>
                <w:sz w:val="28"/>
                <w:szCs w:val="28"/>
              </w:rPr>
              <w:t xml:space="preserve"> </w:t>
            </w:r>
            <w:r w:rsidR="00B43F42" w:rsidRPr="00AF7206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1861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58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F7206" w:rsidRPr="00AF7206" w:rsidTr="00CE237F">
        <w:tc>
          <w:tcPr>
            <w:tcW w:w="605" w:type="dxa"/>
          </w:tcPr>
          <w:p w:rsidR="00AF7206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47" w:type="dxa"/>
          </w:tcPr>
          <w:p w:rsidR="00AF7206" w:rsidRPr="00AF7206" w:rsidRDefault="00AF7206" w:rsidP="00654E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61" w:type="dxa"/>
          </w:tcPr>
          <w:p w:rsidR="00AF7206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58" w:type="dxa"/>
          </w:tcPr>
          <w:p w:rsidR="00AF7206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30%</w:t>
            </w:r>
          </w:p>
        </w:tc>
      </w:tr>
      <w:tr w:rsidR="009A3B31" w:rsidRPr="00AF7206" w:rsidTr="00CE237F">
        <w:tc>
          <w:tcPr>
            <w:tcW w:w="605" w:type="dxa"/>
          </w:tcPr>
          <w:p w:rsidR="009A3B31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47" w:type="dxa"/>
          </w:tcPr>
          <w:p w:rsidR="009A3B31" w:rsidRPr="00AF7206" w:rsidRDefault="00AF7206" w:rsidP="00654E0C">
            <w:pPr>
              <w:shd w:val="clear" w:color="auto" w:fill="FFFFFF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61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58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30%</w:t>
            </w:r>
          </w:p>
        </w:tc>
      </w:tr>
      <w:tr w:rsidR="009A3B31" w:rsidRPr="00AF7206" w:rsidTr="00CE237F">
        <w:tc>
          <w:tcPr>
            <w:tcW w:w="605" w:type="dxa"/>
          </w:tcPr>
          <w:p w:rsidR="009A3B31" w:rsidRPr="00AF7206" w:rsidRDefault="00AF7206" w:rsidP="009A3B3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47" w:type="dxa"/>
          </w:tcPr>
          <w:p w:rsidR="009A3B31" w:rsidRPr="00AF7206" w:rsidRDefault="00AF7206" w:rsidP="00654E0C">
            <w:pPr>
              <w:shd w:val="clear" w:color="auto" w:fill="FFFFFF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Увеличение общего количества профилактических мероприятий</w:t>
            </w:r>
          </w:p>
        </w:tc>
        <w:tc>
          <w:tcPr>
            <w:tcW w:w="1861" w:type="dxa"/>
          </w:tcPr>
          <w:p w:rsidR="009A3B31" w:rsidRPr="00AF7206" w:rsidRDefault="00AF7206" w:rsidP="00AF720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AF7206">
              <w:rPr>
                <w:rFonts w:eastAsia="Arial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58" w:type="dxa"/>
          </w:tcPr>
          <w:p w:rsidR="009A3B31" w:rsidRPr="00AF7206" w:rsidRDefault="00AF7206" w:rsidP="009A3B3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50%</w:t>
            </w:r>
          </w:p>
        </w:tc>
      </w:tr>
    </w:tbl>
    <w:p w:rsidR="00CF44A3" w:rsidRDefault="00CF44A3" w:rsidP="000974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7024" w:rsidRDefault="00187024" w:rsidP="00187024">
      <w:pPr>
        <w:pStyle w:val="a7"/>
      </w:pPr>
    </w:p>
    <w:p w:rsidR="00187024" w:rsidRPr="00187024" w:rsidRDefault="00187024" w:rsidP="00187024">
      <w:pPr>
        <w:pStyle w:val="a7"/>
      </w:pPr>
    </w:p>
    <w:p w:rsidR="00963DB0" w:rsidRPr="00963DB0" w:rsidRDefault="00963DB0" w:rsidP="00CE237F">
      <w:pPr>
        <w:pStyle w:val="a6"/>
        <w:spacing w:before="0" w:beforeAutospacing="0" w:after="0" w:afterAutospacing="0"/>
        <w:rPr>
          <w:sz w:val="28"/>
          <w:szCs w:val="28"/>
        </w:rPr>
      </w:pPr>
      <w:r w:rsidRPr="00963DB0">
        <w:rPr>
          <w:sz w:val="28"/>
          <w:szCs w:val="28"/>
        </w:rPr>
        <w:t>Начальник общего отдела</w:t>
      </w:r>
      <w:r w:rsidRPr="00963DB0">
        <w:rPr>
          <w:sz w:val="28"/>
          <w:szCs w:val="28"/>
        </w:rPr>
        <w:tab/>
      </w:r>
      <w:r w:rsidRPr="00963DB0">
        <w:rPr>
          <w:sz w:val="28"/>
          <w:szCs w:val="28"/>
        </w:rPr>
        <w:tab/>
      </w:r>
      <w:r w:rsidRPr="00963D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37F">
        <w:rPr>
          <w:sz w:val="28"/>
          <w:szCs w:val="28"/>
        </w:rPr>
        <w:t xml:space="preserve">  </w:t>
      </w:r>
      <w:r w:rsidRPr="00963DB0">
        <w:rPr>
          <w:sz w:val="28"/>
          <w:szCs w:val="28"/>
        </w:rPr>
        <w:t>М.В. Баранникова</w:t>
      </w:r>
    </w:p>
    <w:sectPr w:rsidR="00963DB0" w:rsidRPr="00963DB0" w:rsidSect="00CE23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F" w:rsidRDefault="004B588F" w:rsidP="00F709B3">
      <w:r>
        <w:separator/>
      </w:r>
    </w:p>
  </w:endnote>
  <w:endnote w:type="continuationSeparator" w:id="0">
    <w:p w:rsidR="004B588F" w:rsidRDefault="004B588F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F" w:rsidRDefault="004B588F" w:rsidP="00F709B3">
      <w:r>
        <w:separator/>
      </w:r>
    </w:p>
  </w:footnote>
  <w:footnote w:type="continuationSeparator" w:id="0">
    <w:p w:rsidR="004B588F" w:rsidRDefault="004B588F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2775E"/>
    <w:rsid w:val="0009717B"/>
    <w:rsid w:val="00097428"/>
    <w:rsid w:val="000C69A4"/>
    <w:rsid w:val="001075BF"/>
    <w:rsid w:val="001176FB"/>
    <w:rsid w:val="00130EDC"/>
    <w:rsid w:val="001806F4"/>
    <w:rsid w:val="00187024"/>
    <w:rsid w:val="001C67A9"/>
    <w:rsid w:val="001E077C"/>
    <w:rsid w:val="00245F4B"/>
    <w:rsid w:val="002B3302"/>
    <w:rsid w:val="00352762"/>
    <w:rsid w:val="00381149"/>
    <w:rsid w:val="003B40F0"/>
    <w:rsid w:val="00402DEB"/>
    <w:rsid w:val="00491372"/>
    <w:rsid w:val="004A0E38"/>
    <w:rsid w:val="004B0CB3"/>
    <w:rsid w:val="004B588F"/>
    <w:rsid w:val="004F5FCF"/>
    <w:rsid w:val="00541A97"/>
    <w:rsid w:val="00550ECF"/>
    <w:rsid w:val="005A0EBB"/>
    <w:rsid w:val="005A3C97"/>
    <w:rsid w:val="005B368C"/>
    <w:rsid w:val="005E33EA"/>
    <w:rsid w:val="005F2DAB"/>
    <w:rsid w:val="00624476"/>
    <w:rsid w:val="00644C9A"/>
    <w:rsid w:val="0066344B"/>
    <w:rsid w:val="006A27FA"/>
    <w:rsid w:val="006B201A"/>
    <w:rsid w:val="007118C1"/>
    <w:rsid w:val="00721A9C"/>
    <w:rsid w:val="00724A06"/>
    <w:rsid w:val="00792F88"/>
    <w:rsid w:val="007A1890"/>
    <w:rsid w:val="007A47C9"/>
    <w:rsid w:val="007B12FE"/>
    <w:rsid w:val="00845F5D"/>
    <w:rsid w:val="008670E3"/>
    <w:rsid w:val="00875093"/>
    <w:rsid w:val="008C698F"/>
    <w:rsid w:val="009055A9"/>
    <w:rsid w:val="009076B3"/>
    <w:rsid w:val="009378D3"/>
    <w:rsid w:val="00946403"/>
    <w:rsid w:val="00963DB0"/>
    <w:rsid w:val="00995CD6"/>
    <w:rsid w:val="009A3B31"/>
    <w:rsid w:val="009B05B9"/>
    <w:rsid w:val="00A33C28"/>
    <w:rsid w:val="00A67230"/>
    <w:rsid w:val="00A733ED"/>
    <w:rsid w:val="00A73EA1"/>
    <w:rsid w:val="00AF2521"/>
    <w:rsid w:val="00AF7206"/>
    <w:rsid w:val="00B1493A"/>
    <w:rsid w:val="00B43F42"/>
    <w:rsid w:val="00B45996"/>
    <w:rsid w:val="00B5215A"/>
    <w:rsid w:val="00BB31B3"/>
    <w:rsid w:val="00BD32E9"/>
    <w:rsid w:val="00BE686F"/>
    <w:rsid w:val="00C248EE"/>
    <w:rsid w:val="00C2591E"/>
    <w:rsid w:val="00C40C64"/>
    <w:rsid w:val="00C818D9"/>
    <w:rsid w:val="00CE237F"/>
    <w:rsid w:val="00CF021E"/>
    <w:rsid w:val="00CF44A3"/>
    <w:rsid w:val="00D80E41"/>
    <w:rsid w:val="00DB34D3"/>
    <w:rsid w:val="00DB6CB3"/>
    <w:rsid w:val="00E230F2"/>
    <w:rsid w:val="00E2362C"/>
    <w:rsid w:val="00E50F78"/>
    <w:rsid w:val="00E81C11"/>
    <w:rsid w:val="00EB1F1E"/>
    <w:rsid w:val="00EB39CC"/>
    <w:rsid w:val="00F66E02"/>
    <w:rsid w:val="00F709B3"/>
    <w:rsid w:val="00F70C10"/>
    <w:rsid w:val="00F80E0E"/>
    <w:rsid w:val="00F970F9"/>
    <w:rsid w:val="00FB3B9E"/>
    <w:rsid w:val="00FB7B9C"/>
    <w:rsid w:val="00FC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758D-8728-43CF-9958-43A97A27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PRIEMNAJA</cp:lastModifiedBy>
  <cp:revision>8</cp:revision>
  <cp:lastPrinted>2024-11-18T12:02:00Z</cp:lastPrinted>
  <dcterms:created xsi:type="dcterms:W3CDTF">2024-11-11T15:00:00Z</dcterms:created>
  <dcterms:modified xsi:type="dcterms:W3CDTF">2024-11-18T12:07:00Z</dcterms:modified>
</cp:coreProperties>
</file>