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57" w:rsidRPr="00351857" w:rsidRDefault="00351857" w:rsidP="00351857">
      <w:pPr>
        <w:shd w:val="clear" w:color="auto" w:fill="F6F6F6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2A0101"/>
          <w:sz w:val="45"/>
          <w:szCs w:val="45"/>
          <w:lang w:eastAsia="ru-RU"/>
        </w:rPr>
      </w:pPr>
      <w:proofErr w:type="spellStart"/>
      <w:r w:rsidRPr="00351857">
        <w:rPr>
          <w:rFonts w:ascii="Times New Roman" w:eastAsia="Times New Roman" w:hAnsi="Times New Roman" w:cs="Times New Roman"/>
          <w:b/>
          <w:bCs/>
          <w:color w:val="2A0101"/>
          <w:sz w:val="45"/>
          <w:szCs w:val="45"/>
          <w:lang w:eastAsia="ru-RU"/>
        </w:rPr>
        <w:t>АгроЧрезвычайный</w:t>
      </w:r>
      <w:proofErr w:type="spellEnd"/>
    </w:p>
    <w:p w:rsidR="00351857" w:rsidRPr="00351857" w:rsidRDefault="00351857" w:rsidP="00351857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hyperlink r:id="rId5" w:history="1">
        <w:r w:rsidRPr="00351857">
          <w:rPr>
            <w:rFonts w:ascii="Times New Roman" w:eastAsia="Times New Roman" w:hAnsi="Times New Roman" w:cs="Times New Roman"/>
            <w:color w:val="FFFFFF"/>
            <w:sz w:val="24"/>
            <w:szCs w:val="24"/>
            <w:bdr w:val="none" w:sz="0" w:space="0" w:color="auto" w:frame="1"/>
            <w:shd w:val="clear" w:color="auto" w:fill="E14D36"/>
            <w:lang w:eastAsia="ru-RU"/>
          </w:rPr>
          <w:t>Калькулятор платежей</w:t>
        </w:r>
      </w:hyperlink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b/>
          <w:bCs/>
          <w:color w:val="494A4D"/>
          <w:sz w:val="30"/>
          <w:szCs w:val="30"/>
          <w:lang w:eastAsia="ru-RU"/>
        </w:rPr>
        <w:t>Процентная ставка:</w:t>
      </w:r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b/>
          <w:bCs/>
          <w:color w:val="E03E2D"/>
          <w:sz w:val="30"/>
          <w:szCs w:val="30"/>
          <w:lang w:eastAsia="ru-RU"/>
        </w:rPr>
        <w:t>1%</w:t>
      </w:r>
      <w:r w:rsidRPr="00351857">
        <w:rPr>
          <w:rFonts w:ascii="Times New Roman" w:eastAsia="Times New Roman" w:hAnsi="Times New Roman" w:cs="Times New Roman"/>
          <w:color w:val="E03E2D"/>
          <w:sz w:val="30"/>
          <w:szCs w:val="30"/>
          <w:lang w:eastAsia="ru-RU"/>
        </w:rPr>
        <w:t> </w:t>
      </w: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- при наличии залогового обеспечения/ при наличии залогового обеспечения и поручительства НКО «Гарантийный фонд РО» в размере менее 70%</w:t>
      </w:r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b/>
          <w:bCs/>
          <w:color w:val="E03E2D"/>
          <w:sz w:val="30"/>
          <w:szCs w:val="30"/>
          <w:lang w:eastAsia="ru-RU"/>
        </w:rPr>
        <w:t>3%</w:t>
      </w: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 - при отсутствии залогового обеспечения (поручительства третьих лиц, за исключением НКО «Гарантийный фонд РО»)</w:t>
      </w:r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b/>
          <w:bCs/>
          <w:color w:val="E03E2D"/>
          <w:sz w:val="30"/>
          <w:szCs w:val="30"/>
          <w:lang w:eastAsia="ru-RU"/>
        </w:rPr>
        <w:t>3%</w:t>
      </w: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 - при предоставлении поручительства НКО «Гарантийный фонд РО» в размере 70% и поручительства третьих лиц/залога</w:t>
      </w:r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b/>
          <w:bCs/>
          <w:color w:val="494A4D"/>
          <w:sz w:val="30"/>
          <w:szCs w:val="30"/>
          <w:lang w:eastAsia="ru-RU"/>
        </w:rPr>
        <w:t xml:space="preserve">Сумма </w:t>
      </w:r>
      <w:proofErr w:type="spellStart"/>
      <w:r w:rsidRPr="00351857">
        <w:rPr>
          <w:rFonts w:ascii="Times New Roman" w:eastAsia="Times New Roman" w:hAnsi="Times New Roman" w:cs="Times New Roman"/>
          <w:b/>
          <w:bCs/>
          <w:color w:val="494A4D"/>
          <w:sz w:val="30"/>
          <w:szCs w:val="30"/>
          <w:lang w:eastAsia="ru-RU"/>
        </w:rPr>
        <w:t>микрозайма</w:t>
      </w:r>
      <w:proofErr w:type="spellEnd"/>
      <w:r w:rsidRPr="00351857">
        <w:rPr>
          <w:rFonts w:ascii="Times New Roman" w:eastAsia="Times New Roman" w:hAnsi="Times New Roman" w:cs="Times New Roman"/>
          <w:b/>
          <w:bCs/>
          <w:color w:val="494A4D"/>
          <w:sz w:val="30"/>
          <w:szCs w:val="30"/>
          <w:lang w:eastAsia="ru-RU"/>
        </w:rPr>
        <w:t>: </w:t>
      </w: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от 100 000 рублей до 5 000 000 рублей (включительно).</w:t>
      </w:r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В случае предоставления обеспечения исключительно в виде поручительства третьих лиц (за исключением поручительства НКО «Гарантийный фонд Ростовской области») сумма займа не может превышать 1 500 000 рублей.</w:t>
      </w:r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b/>
          <w:bCs/>
          <w:color w:val="494A4D"/>
          <w:sz w:val="30"/>
          <w:szCs w:val="30"/>
          <w:lang w:eastAsia="ru-RU"/>
        </w:rPr>
        <w:t>Срок предоставления:</w:t>
      </w: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 не более 36 месяцев.</w:t>
      </w:r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b/>
          <w:bCs/>
          <w:color w:val="494A4D"/>
          <w:sz w:val="30"/>
          <w:szCs w:val="30"/>
          <w:lang w:eastAsia="ru-RU"/>
        </w:rPr>
        <w:t>Цель:</w:t>
      </w:r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- пополнение оборотных средств и (или) приобретение основных средств;</w:t>
      </w:r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- рефинансирование кредитов, ранее полученных на предпринимательские цели в кредитных организациях (при условии срока действия рефинансируемой задолженности не менее 3 календарных месяцев на дату подачи заявления, а также отсутствия просроченной задолженности).</w:t>
      </w:r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b/>
          <w:bCs/>
          <w:color w:val="494A4D"/>
          <w:sz w:val="30"/>
          <w:szCs w:val="30"/>
          <w:lang w:eastAsia="ru-RU"/>
        </w:rPr>
        <w:t>Обеспечение:</w:t>
      </w: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 залог ликвидного движимого и/или недвижимого имущества и/или поручительство третьих лиц.</w:t>
      </w:r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b/>
          <w:bCs/>
          <w:color w:val="494A4D"/>
          <w:sz w:val="30"/>
          <w:szCs w:val="30"/>
          <w:lang w:eastAsia="ru-RU"/>
        </w:rPr>
        <w:t>Отсрочка платежа по основному долгу:</w:t>
      </w: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 до 8-ми месяцев</w:t>
      </w:r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Получатели продукта: субъекты МСП, отвечающие требованиям настоящего Положения, зарегистрированные и осуществляющие деятельность в зоне чрезвычайной ситуации и относящиеся к одной или нескольким из следующих категорий:</w:t>
      </w:r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 xml:space="preserve">а) Субъект МСП осуществляет сельскохозяйственную деятельность в рамках класса 01 «Растениеводство и животноводство, охота и предоставление соответствующих услуг в этих областях» (за исключением видов деятельности, включенных в подкласс 01.7 «Охота, отлов и отстрел диких животных, включая </w:t>
      </w: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lastRenderedPageBreak/>
        <w:t>предоставление услуг в этих областях») Общероссийского классификатора видов экономической деятельности (ОК 029-2014);</w:t>
      </w:r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 xml:space="preserve">б) Субъект МСП является сельскохозяйственным производственным или потребительским </w:t>
      </w:r>
      <w:proofErr w:type="gramStart"/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кооперативом</w:t>
      </w:r>
      <w:proofErr w:type="gramEnd"/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 xml:space="preserve"> или членом сельскохозяйственного потребительского кооператива - крестьянским (фермерским) хозяйством в соответствии с Федеральным законом от 08.12.1995 № 193-ФЗ «О сельскохозяйственной кооперации»;</w:t>
      </w:r>
    </w:p>
    <w:p w:rsidR="00351857" w:rsidRPr="00351857" w:rsidRDefault="00351857" w:rsidP="00351857">
      <w:pPr>
        <w:shd w:val="clear" w:color="auto" w:fill="F6F6F6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b/>
          <w:bCs/>
          <w:color w:val="494A4D"/>
          <w:sz w:val="30"/>
          <w:szCs w:val="30"/>
          <w:lang w:eastAsia="ru-RU"/>
        </w:rPr>
        <w:t xml:space="preserve">Условия предоставления </w:t>
      </w:r>
      <w:proofErr w:type="spellStart"/>
      <w:r w:rsidRPr="00351857">
        <w:rPr>
          <w:rFonts w:ascii="Times New Roman" w:eastAsia="Times New Roman" w:hAnsi="Times New Roman" w:cs="Times New Roman"/>
          <w:b/>
          <w:bCs/>
          <w:color w:val="494A4D"/>
          <w:sz w:val="30"/>
          <w:szCs w:val="30"/>
          <w:lang w:eastAsia="ru-RU"/>
        </w:rPr>
        <w:t>микрофинансового</w:t>
      </w:r>
      <w:proofErr w:type="spellEnd"/>
      <w:r w:rsidRPr="00351857">
        <w:rPr>
          <w:rFonts w:ascii="Times New Roman" w:eastAsia="Times New Roman" w:hAnsi="Times New Roman" w:cs="Times New Roman"/>
          <w:b/>
          <w:bCs/>
          <w:color w:val="494A4D"/>
          <w:sz w:val="30"/>
          <w:szCs w:val="30"/>
          <w:lang w:eastAsia="ru-RU"/>
        </w:rPr>
        <w:t xml:space="preserve"> продукта:</w:t>
      </w:r>
    </w:p>
    <w:p w:rsidR="00351857" w:rsidRPr="00351857" w:rsidRDefault="00351857" w:rsidP="00351857">
      <w:pPr>
        <w:numPr>
          <w:ilvl w:val="0"/>
          <w:numId w:val="1"/>
        </w:numPr>
        <w:shd w:val="clear" w:color="auto" w:fill="F6F6F6"/>
        <w:spacing w:beforeAutospacing="1" w:after="0" w:afterAutospacing="1" w:line="240" w:lineRule="auto"/>
        <w:ind w:left="-225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- наличие правового акта уполномоченного органа (должностного лица) о введении режима чрезвычайной ситуации на территории Ростовской области или на территориях муниципальных образований Ростовской области с определением фактических границ зоны чрезвычайной ситуации; </w:t>
      </w:r>
    </w:p>
    <w:p w:rsidR="00351857" w:rsidRPr="00351857" w:rsidRDefault="00351857" w:rsidP="00351857">
      <w:pPr>
        <w:numPr>
          <w:ilvl w:val="0"/>
          <w:numId w:val="1"/>
        </w:numPr>
        <w:shd w:val="clear" w:color="auto" w:fill="F6F6F6"/>
        <w:spacing w:beforeAutospacing="1" w:after="0" w:afterAutospacing="1" w:line="240" w:lineRule="auto"/>
        <w:ind w:left="-225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- наличие регистрации на территории Ростовской области в установленном законом порядке в качестве юридического лица или физического лица, осуществляющего предпринимательскую деятельность без образования юридического лица, главы крестьянского (фермерского) хозяйства (поставленным на учет в налоговом органе на территории Ростовской области) и осуществление предпринимательской (хозяйственной) деятельности в зоне чрезвычайной ситуации на дату введения режима чрезвычайной ситуации в границах установленной зоны чрезвычайной ситуации; </w:t>
      </w:r>
    </w:p>
    <w:p w:rsidR="00351857" w:rsidRPr="00351857" w:rsidRDefault="00351857" w:rsidP="00351857">
      <w:pPr>
        <w:numPr>
          <w:ilvl w:val="0"/>
          <w:numId w:val="1"/>
        </w:numPr>
        <w:shd w:val="clear" w:color="auto" w:fill="F6F6F6"/>
        <w:spacing w:beforeAutospacing="1" w:after="0" w:afterAutospacing="1" w:line="240" w:lineRule="auto"/>
        <w:ind w:left="-225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- наличие акта уполномоченного органа (должностного лица), подтверждающего причинение субъекту МСП ущерба в результате чрезвычайных ситуаций природного характера;</w:t>
      </w:r>
    </w:p>
    <w:p w:rsidR="00351857" w:rsidRPr="00351857" w:rsidRDefault="00351857" w:rsidP="00351857">
      <w:pPr>
        <w:numPr>
          <w:ilvl w:val="0"/>
          <w:numId w:val="1"/>
        </w:numPr>
        <w:shd w:val="clear" w:color="auto" w:fill="F6F6F6"/>
        <w:spacing w:beforeAutospacing="1" w:after="0" w:afterAutospacing="1" w:line="240" w:lineRule="auto"/>
        <w:ind w:left="-225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- срок со дня государственной регистрации субъекта МСП на дату обращения превышает 12 мес.;</w:t>
      </w:r>
    </w:p>
    <w:p w:rsidR="00351857" w:rsidRPr="00351857" w:rsidRDefault="00351857" w:rsidP="00351857">
      <w:pPr>
        <w:numPr>
          <w:ilvl w:val="0"/>
          <w:numId w:val="1"/>
        </w:numPr>
        <w:shd w:val="clear" w:color="auto" w:fill="F6F6F6"/>
        <w:spacing w:beforeAutospacing="1" w:after="0" w:afterAutospacing="1" w:line="240" w:lineRule="auto"/>
        <w:ind w:left="-225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 xml:space="preserve">- результаты финансово-хозяйственной деятельности субъекта МСП соответствуют требованиям настоящего Положения и Методики оценки рисков по </w:t>
      </w:r>
      <w:proofErr w:type="spellStart"/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микрозаймам</w:t>
      </w:r>
      <w:proofErr w:type="spellEnd"/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,</w:t>
      </w:r>
    </w:p>
    <w:p w:rsidR="00351857" w:rsidRPr="00351857" w:rsidRDefault="00351857" w:rsidP="00351857">
      <w:pPr>
        <w:numPr>
          <w:ilvl w:val="0"/>
          <w:numId w:val="2"/>
        </w:numPr>
        <w:shd w:val="clear" w:color="auto" w:fill="F6F6F6"/>
        <w:spacing w:beforeAutospacing="1" w:after="0" w:afterAutospacing="1" w:line="240" w:lineRule="auto"/>
        <w:ind w:left="-225"/>
        <w:jc w:val="both"/>
        <w:rPr>
          <w:rFonts w:ascii="Times New Roman" w:eastAsia="Times New Roman" w:hAnsi="Times New Roman" w:cs="Times New Roman"/>
          <w:color w:val="494A4D"/>
          <w:sz w:val="24"/>
          <w:szCs w:val="24"/>
          <w:lang w:eastAsia="ru-RU"/>
        </w:rPr>
      </w:pPr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- для индивидуальных предпринимателей, применяющих специальный налоговый режим «Налог на профессиональный доход», зарегистрированных и осуществляющих деятельность на территории Ростовской области в соответствии с  </w:t>
      </w:r>
      <w:hyperlink r:id="rId6" w:tgtFrame="_blank" w:history="1">
        <w:r w:rsidRPr="00351857">
          <w:rPr>
            <w:rFonts w:ascii="Times New Roman" w:eastAsia="Times New Roman" w:hAnsi="Times New Roman" w:cs="Times New Roman"/>
            <w:color w:val="E03E2D"/>
            <w:sz w:val="30"/>
            <w:szCs w:val="30"/>
            <w:lang w:eastAsia="ru-RU"/>
          </w:rPr>
          <w:t>Федеральным законом от 27.11.2018 № 422-ФЗ</w:t>
        </w:r>
      </w:hyperlink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 xml:space="preserve"> «О проведении эксперимента по установлению специального налогового режима «Налог на профессиональный доход», максимальный размер </w:t>
      </w:r>
      <w:proofErr w:type="spellStart"/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>микрозайма</w:t>
      </w:r>
      <w:proofErr w:type="spellEnd"/>
      <w:r w:rsidRPr="00351857">
        <w:rPr>
          <w:rFonts w:ascii="Times New Roman" w:eastAsia="Times New Roman" w:hAnsi="Times New Roman" w:cs="Times New Roman"/>
          <w:color w:val="494A4D"/>
          <w:sz w:val="30"/>
          <w:szCs w:val="30"/>
          <w:lang w:eastAsia="ru-RU"/>
        </w:rPr>
        <w:t xml:space="preserve"> составляет не более 1 000 000 рублей.</w:t>
      </w:r>
    </w:p>
    <w:p w:rsidR="00AA52DB" w:rsidRPr="00351857" w:rsidRDefault="0035185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A52DB" w:rsidRPr="00351857" w:rsidSect="003518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665A1"/>
    <w:multiLevelType w:val="multilevel"/>
    <w:tmpl w:val="4AD0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56796"/>
    <w:multiLevelType w:val="multilevel"/>
    <w:tmpl w:val="3F7C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57"/>
    <w:rsid w:val="00351857"/>
    <w:rsid w:val="0040729F"/>
    <w:rsid w:val="007D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731C2-1226-4722-803B-A4506698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39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36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acts/bank/43826" TargetMode="External"/><Relationship Id="rId5" Type="http://schemas.openxmlformats.org/officeDocument/2006/relationships/hyperlink" Target="https://mbrostov.ru/microloans/23/calcul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Чернобаева Ольга Викторовна</dc:creator>
  <cp:keywords/>
  <dc:description/>
  <cp:lastModifiedBy>Чернобаева Ольга Викторовна</cp:lastModifiedBy>
  <cp:revision>1</cp:revision>
  <dcterms:created xsi:type="dcterms:W3CDTF">2025-10-24T09:02:00Z</dcterms:created>
  <dcterms:modified xsi:type="dcterms:W3CDTF">2025-10-24T09:03:00Z</dcterms:modified>
</cp:coreProperties>
</file>